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C28D" w14:textId="1A9F4C4F" w:rsidR="00115B05" w:rsidRPr="0034365F" w:rsidRDefault="007E21C5">
      <w:pPr>
        <w:rPr>
          <w:sz w:val="18"/>
          <w:szCs w:val="18"/>
        </w:rPr>
      </w:pPr>
      <w:hyperlink r:id="rId5" w:history="1">
        <w:r w:rsidRPr="0034365F">
          <w:rPr>
            <w:rStyle w:val="Hyperlink"/>
            <w:sz w:val="18"/>
            <w:szCs w:val="18"/>
          </w:rPr>
          <w:t>https://www.oracle.com/nl/database/technologies/related/rdb.html</w:t>
        </w:r>
      </w:hyperlink>
    </w:p>
    <w:p w14:paraId="1E9CBDD7" w14:textId="71EEE3BA" w:rsidR="007E21C5" w:rsidRPr="0034365F" w:rsidRDefault="007E21C5">
      <w:pPr>
        <w:rPr>
          <w:sz w:val="18"/>
          <w:szCs w:val="18"/>
        </w:rPr>
      </w:pPr>
      <w:r w:rsidRPr="0034365F">
        <w:rPr>
          <w:noProof/>
          <w:sz w:val="18"/>
          <w:szCs w:val="18"/>
        </w:rPr>
        <w:drawing>
          <wp:inline distT="0" distB="0" distL="0" distR="0" wp14:anchorId="45FBCF45" wp14:editId="135D00A8">
            <wp:extent cx="5943600" cy="39941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3D3" w14:textId="77777777" w:rsidR="0034365F" w:rsidRPr="0034365F" w:rsidRDefault="0034365F" w:rsidP="0034365F">
      <w:pPr>
        <w:rPr>
          <w:color w:val="000000"/>
          <w:sz w:val="18"/>
          <w:szCs w:val="18"/>
          <w:lang w:val="en-GB"/>
        </w:rPr>
      </w:pPr>
      <w:r w:rsidRPr="0034365F">
        <w:rPr>
          <w:color w:val="000000"/>
          <w:sz w:val="18"/>
          <w:szCs w:val="18"/>
          <w:lang w:val="en-GB"/>
        </w:rPr>
        <w:t>Oracle RDB</w:t>
      </w:r>
    </w:p>
    <w:p w14:paraId="0E929F6D" w14:textId="77777777" w:rsidR="0034365F" w:rsidRPr="0034365F" w:rsidRDefault="0034365F" w:rsidP="0034365F">
      <w:pPr>
        <w:pStyle w:val="Kop2"/>
        <w:spacing w:before="0" w:beforeAutospacing="0" w:after="96" w:afterAutospacing="0"/>
        <w:rPr>
          <w:color w:val="000000"/>
          <w:sz w:val="18"/>
          <w:szCs w:val="18"/>
          <w:lang w:val="en-GB"/>
        </w:rPr>
      </w:pPr>
      <w:r w:rsidRPr="0034365F">
        <w:rPr>
          <w:color w:val="000000"/>
          <w:sz w:val="18"/>
          <w:szCs w:val="18"/>
          <w:lang w:val="en-GB"/>
        </w:rPr>
        <w:t>Overview and Features</w:t>
      </w:r>
    </w:p>
    <w:p w14:paraId="29FACDCC" w14:textId="77777777" w:rsidR="0034365F" w:rsidRPr="0034365F" w:rsidRDefault="0034365F" w:rsidP="0034365F">
      <w:pPr>
        <w:pStyle w:val="Normaalweb"/>
        <w:spacing w:before="0" w:beforeAutospacing="0" w:after="264" w:afterAutospacing="0"/>
        <w:rPr>
          <w:sz w:val="18"/>
          <w:szCs w:val="18"/>
          <w:lang w:val="en-GB"/>
        </w:rPr>
      </w:pPr>
      <w:r w:rsidRPr="0034365F">
        <w:rPr>
          <w:sz w:val="18"/>
          <w:szCs w:val="18"/>
          <w:lang w:val="en-GB"/>
        </w:rPr>
        <w:t>Oracle's plan for the future of Oracle Rdb is straightforward. We will continue with demand-driven feature development and product maintenance. In particular, we will maintain a relentless focus on high quality and stability and enhancement of the features which customers have deployed in production environments world- wide. Developers and end users are able to use Oracle tools for application development, ad hoc queries, decision support and internet application deployment.</w:t>
      </w:r>
    </w:p>
    <w:p w14:paraId="15B5E39A" w14:textId="77777777" w:rsidR="0034365F" w:rsidRPr="0034365F" w:rsidRDefault="0034365F" w:rsidP="0034365F">
      <w:pPr>
        <w:pStyle w:val="Normaalweb"/>
        <w:spacing w:before="0" w:beforeAutospacing="0" w:after="264" w:afterAutospacing="0"/>
        <w:rPr>
          <w:sz w:val="18"/>
          <w:szCs w:val="18"/>
          <w:lang w:val="en-GB"/>
        </w:rPr>
      </w:pPr>
      <w:r w:rsidRPr="0034365F">
        <w:rPr>
          <w:sz w:val="18"/>
          <w:szCs w:val="18"/>
          <w:lang w:val="en-GB"/>
        </w:rPr>
        <w:t>Oracle Rdb Product Family Releases are built to run on HP OpenVMS Itanium and AlphaServer Systems. 7.4 is the latest release of the Oracle Rdb Product Family.</w:t>
      </w:r>
    </w:p>
    <w:p w14:paraId="7DE95246" w14:textId="77777777" w:rsidR="0034365F" w:rsidRPr="0034365F" w:rsidRDefault="0034365F" w:rsidP="0034365F">
      <w:pPr>
        <w:pStyle w:val="Normaalweb"/>
        <w:spacing w:before="0" w:beforeAutospacing="0" w:after="264" w:afterAutospacing="0"/>
        <w:rPr>
          <w:sz w:val="18"/>
          <w:szCs w:val="18"/>
          <w:lang w:val="en-GB"/>
        </w:rPr>
      </w:pPr>
      <w:r w:rsidRPr="0034365F">
        <w:rPr>
          <w:sz w:val="18"/>
          <w:szCs w:val="18"/>
          <w:lang w:val="en-GB"/>
        </w:rPr>
        <w:t>Oracle Rdb's technical strengths include:</w:t>
      </w:r>
    </w:p>
    <w:p w14:paraId="7B0644A2" w14:textId="77777777" w:rsidR="0034365F" w:rsidRPr="0034365F" w:rsidRDefault="0034365F" w:rsidP="0034365F">
      <w:pPr>
        <w:numPr>
          <w:ilvl w:val="0"/>
          <w:numId w:val="1"/>
        </w:numPr>
        <w:spacing w:after="144" w:line="240" w:lineRule="auto"/>
        <w:ind w:right="240"/>
        <w:rPr>
          <w:sz w:val="18"/>
          <w:szCs w:val="18"/>
          <w:lang w:val="en-GB"/>
        </w:rPr>
      </w:pPr>
      <w:r w:rsidRPr="0034365F">
        <w:rPr>
          <w:sz w:val="18"/>
          <w:szCs w:val="18"/>
          <w:lang w:val="en-GB"/>
        </w:rPr>
        <w:t>Very high performance to deliver extraordinary real-world throughput</w:t>
      </w:r>
    </w:p>
    <w:p w14:paraId="3A83E8C6" w14:textId="77777777" w:rsidR="0034365F" w:rsidRPr="0034365F" w:rsidRDefault="0034365F" w:rsidP="0034365F">
      <w:pPr>
        <w:numPr>
          <w:ilvl w:val="0"/>
          <w:numId w:val="1"/>
        </w:numPr>
        <w:spacing w:after="144" w:line="240" w:lineRule="auto"/>
        <w:ind w:right="240"/>
        <w:rPr>
          <w:sz w:val="18"/>
          <w:szCs w:val="18"/>
          <w:lang w:val="en-GB"/>
        </w:rPr>
      </w:pPr>
      <w:r w:rsidRPr="0034365F">
        <w:rPr>
          <w:sz w:val="18"/>
          <w:szCs w:val="18"/>
          <w:lang w:val="en-GB"/>
        </w:rPr>
        <w:t>Extremely high reliability, providing both data security and database uptime</w:t>
      </w:r>
    </w:p>
    <w:p w14:paraId="7185B963" w14:textId="77777777" w:rsidR="0034365F" w:rsidRPr="0034365F" w:rsidRDefault="0034365F" w:rsidP="0034365F">
      <w:pPr>
        <w:numPr>
          <w:ilvl w:val="0"/>
          <w:numId w:val="1"/>
        </w:numPr>
        <w:spacing w:after="144" w:line="240" w:lineRule="auto"/>
        <w:ind w:right="240"/>
        <w:rPr>
          <w:sz w:val="18"/>
          <w:szCs w:val="18"/>
          <w:lang w:val="en-GB"/>
        </w:rPr>
      </w:pPr>
      <w:r w:rsidRPr="0034365F">
        <w:rPr>
          <w:sz w:val="18"/>
          <w:szCs w:val="18"/>
          <w:lang w:val="en-GB"/>
        </w:rPr>
        <w:t>Extremely high availability—requirements for scheduled maintenance downtime are minimal</w:t>
      </w:r>
    </w:p>
    <w:p w14:paraId="3225F36B" w14:textId="77777777" w:rsidR="0034365F" w:rsidRPr="0034365F" w:rsidRDefault="0034365F" w:rsidP="0034365F">
      <w:pPr>
        <w:numPr>
          <w:ilvl w:val="0"/>
          <w:numId w:val="1"/>
        </w:numPr>
        <w:spacing w:after="144" w:line="240" w:lineRule="auto"/>
        <w:ind w:right="240"/>
        <w:rPr>
          <w:sz w:val="18"/>
          <w:szCs w:val="18"/>
        </w:rPr>
      </w:pPr>
      <w:r w:rsidRPr="0034365F">
        <w:rPr>
          <w:sz w:val="18"/>
          <w:szCs w:val="18"/>
        </w:rPr>
        <w:t>Easy maintainability</w:t>
      </w:r>
    </w:p>
    <w:p w14:paraId="74F80B70" w14:textId="77777777" w:rsidR="0034365F" w:rsidRPr="0034365F" w:rsidRDefault="0034365F" w:rsidP="0034365F">
      <w:pPr>
        <w:numPr>
          <w:ilvl w:val="0"/>
          <w:numId w:val="1"/>
        </w:numPr>
        <w:spacing w:after="144" w:line="240" w:lineRule="auto"/>
        <w:ind w:right="240"/>
        <w:rPr>
          <w:sz w:val="18"/>
          <w:szCs w:val="18"/>
        </w:rPr>
      </w:pPr>
      <w:r w:rsidRPr="0034365F">
        <w:rPr>
          <w:sz w:val="18"/>
          <w:szCs w:val="18"/>
        </w:rPr>
        <w:t>Low cost per transaction</w:t>
      </w:r>
    </w:p>
    <w:p w14:paraId="712B33EF" w14:textId="77777777" w:rsidR="0034365F" w:rsidRDefault="0034365F" w:rsidP="0034365F">
      <w:pPr>
        <w:pStyle w:val="Kop5"/>
        <w:spacing w:before="0" w:beforeAutospacing="0" w:after="96" w:afterAutospacing="0"/>
        <w:rPr>
          <w:b w:val="0"/>
          <w:bCs w:val="0"/>
          <w:color w:val="000000"/>
          <w:sz w:val="18"/>
          <w:szCs w:val="18"/>
        </w:rPr>
      </w:pPr>
    </w:p>
    <w:p w14:paraId="04C1348E" w14:textId="77777777" w:rsidR="0034365F" w:rsidRDefault="0034365F" w:rsidP="0034365F">
      <w:pPr>
        <w:pStyle w:val="Kop5"/>
        <w:spacing w:before="0" w:beforeAutospacing="0" w:after="96" w:afterAutospacing="0"/>
        <w:rPr>
          <w:b w:val="0"/>
          <w:bCs w:val="0"/>
          <w:color w:val="000000"/>
          <w:sz w:val="18"/>
          <w:szCs w:val="18"/>
        </w:rPr>
      </w:pPr>
    </w:p>
    <w:p w14:paraId="2E82862E" w14:textId="77777777" w:rsidR="0034365F" w:rsidRDefault="0034365F" w:rsidP="0034365F">
      <w:pPr>
        <w:pStyle w:val="Kop5"/>
        <w:spacing w:before="0" w:beforeAutospacing="0" w:after="96" w:afterAutospacing="0"/>
        <w:rPr>
          <w:b w:val="0"/>
          <w:bCs w:val="0"/>
          <w:color w:val="000000"/>
          <w:sz w:val="18"/>
          <w:szCs w:val="18"/>
        </w:rPr>
      </w:pPr>
    </w:p>
    <w:p w14:paraId="3BA05DC0" w14:textId="77777777" w:rsidR="0034365F" w:rsidRDefault="0034365F" w:rsidP="0034365F">
      <w:pPr>
        <w:pStyle w:val="Kop5"/>
        <w:spacing w:before="0" w:beforeAutospacing="0" w:after="96" w:afterAutospacing="0"/>
        <w:rPr>
          <w:b w:val="0"/>
          <w:bCs w:val="0"/>
          <w:color w:val="000000"/>
          <w:sz w:val="18"/>
          <w:szCs w:val="18"/>
        </w:rPr>
      </w:pPr>
    </w:p>
    <w:p w14:paraId="6ADBB109" w14:textId="60627145" w:rsidR="0034365F" w:rsidRPr="0034365F" w:rsidRDefault="0034365F" w:rsidP="0034365F">
      <w:pPr>
        <w:pStyle w:val="Kop5"/>
        <w:spacing w:before="0" w:beforeAutospacing="0" w:after="96" w:afterAutospacing="0"/>
        <w:rPr>
          <w:b w:val="0"/>
          <w:bCs w:val="0"/>
          <w:color w:val="000000"/>
          <w:sz w:val="18"/>
          <w:szCs w:val="18"/>
        </w:rPr>
      </w:pPr>
      <w:r w:rsidRPr="0034365F">
        <w:rPr>
          <w:b w:val="0"/>
          <w:bCs w:val="0"/>
          <w:color w:val="000000"/>
          <w:sz w:val="18"/>
          <w:szCs w:val="18"/>
        </w:rPr>
        <w:lastRenderedPageBreak/>
        <w:t>Resources</w:t>
      </w:r>
    </w:p>
    <w:p w14:paraId="09238F19" w14:textId="77777777" w:rsidR="0034365F" w:rsidRPr="0034365F" w:rsidRDefault="0034365F" w:rsidP="0034365F">
      <w:pPr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hyperlink r:id="rId7" w:history="1">
        <w:r w:rsidRPr="0034365F">
          <w:rPr>
            <w:rStyle w:val="Hyperlink"/>
            <w:color w:val="00688C"/>
            <w:sz w:val="18"/>
            <w:szCs w:val="18"/>
          </w:rPr>
          <w:t>Oracle Rdb Product Compatibility Matrix</w:t>
        </w:r>
      </w:hyperlink>
    </w:p>
    <w:p w14:paraId="34356A0E" w14:textId="77777777" w:rsidR="0034365F" w:rsidRPr="0034365F" w:rsidRDefault="0034365F" w:rsidP="0034365F">
      <w:pPr>
        <w:numPr>
          <w:ilvl w:val="0"/>
          <w:numId w:val="2"/>
        </w:numPr>
        <w:spacing w:after="0" w:line="240" w:lineRule="auto"/>
        <w:rPr>
          <w:sz w:val="18"/>
          <w:szCs w:val="18"/>
          <w:lang w:val="en-GB"/>
        </w:rPr>
      </w:pPr>
      <w:hyperlink r:id="rId8" w:history="1">
        <w:r w:rsidRPr="0034365F">
          <w:rPr>
            <w:rStyle w:val="Hyperlink"/>
            <w:color w:val="00688C"/>
            <w:sz w:val="18"/>
            <w:szCs w:val="18"/>
            <w:lang w:val="en-GB"/>
          </w:rPr>
          <w:t>Oracle Rdb Lifetime Support Dates</w:t>
        </w:r>
      </w:hyperlink>
      <w:r w:rsidRPr="0034365F">
        <w:rPr>
          <w:sz w:val="18"/>
          <w:szCs w:val="18"/>
          <w:lang w:val="en-GB"/>
        </w:rPr>
        <w:br/>
        <w:t>Oracle Rdb and Oracle CODASYL DBMS are covered by Oracle's Lifetime Support Policy.</w:t>
      </w:r>
    </w:p>
    <w:p w14:paraId="003268DE" w14:textId="77777777" w:rsidR="0034365F" w:rsidRPr="0034365F" w:rsidRDefault="0034365F" w:rsidP="0034365F">
      <w:pPr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hyperlink r:id="rId9" w:history="1">
        <w:r w:rsidRPr="0034365F">
          <w:rPr>
            <w:rStyle w:val="Hyperlink"/>
            <w:color w:val="00688C"/>
            <w:sz w:val="18"/>
            <w:szCs w:val="18"/>
          </w:rPr>
          <w:t>Rdb Statement of Direction</w:t>
        </w:r>
      </w:hyperlink>
    </w:p>
    <w:p w14:paraId="28EDAE98" w14:textId="77777777" w:rsidR="0034365F" w:rsidRPr="0034365F" w:rsidRDefault="0034365F" w:rsidP="0034365F">
      <w:pPr>
        <w:numPr>
          <w:ilvl w:val="0"/>
          <w:numId w:val="2"/>
        </w:numPr>
        <w:spacing w:after="0" w:line="240" w:lineRule="auto"/>
        <w:rPr>
          <w:sz w:val="18"/>
          <w:szCs w:val="18"/>
          <w:lang w:val="en-GB"/>
        </w:rPr>
      </w:pPr>
      <w:hyperlink r:id="rId10" w:history="1">
        <w:r w:rsidRPr="0034365F">
          <w:rPr>
            <w:rStyle w:val="Hyperlink"/>
            <w:color w:val="00688C"/>
            <w:sz w:val="18"/>
            <w:szCs w:val="18"/>
            <w:lang w:val="en-GB"/>
          </w:rPr>
          <w:t>Support for Alpha and VAX Emulators</w:t>
        </w:r>
      </w:hyperlink>
    </w:p>
    <w:p w14:paraId="414FBB90" w14:textId="77777777" w:rsidR="0034365F" w:rsidRPr="0034365F" w:rsidRDefault="0034365F" w:rsidP="0034365F">
      <w:pPr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hyperlink r:id="rId11" w:history="1">
        <w:r w:rsidRPr="0034365F">
          <w:rPr>
            <w:rStyle w:val="Hyperlink"/>
            <w:color w:val="00688C"/>
            <w:sz w:val="18"/>
            <w:szCs w:val="18"/>
          </w:rPr>
          <w:t>Oracle Rdb Technical Journal</w:t>
        </w:r>
      </w:hyperlink>
    </w:p>
    <w:p w14:paraId="2ADB49F9" w14:textId="77777777" w:rsidR="0034365F" w:rsidRPr="0034365F" w:rsidRDefault="0034365F" w:rsidP="0034365F">
      <w:pPr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hyperlink r:id="rId12" w:history="1">
        <w:r w:rsidRPr="0034365F">
          <w:rPr>
            <w:rStyle w:val="Hyperlink"/>
            <w:color w:val="00688C"/>
            <w:sz w:val="18"/>
            <w:szCs w:val="18"/>
          </w:rPr>
          <w:t>Oracle Rdb Technical Archive</w:t>
        </w:r>
      </w:hyperlink>
    </w:p>
    <w:p w14:paraId="39B193F3" w14:textId="77777777" w:rsidR="0034365F" w:rsidRPr="0034365F" w:rsidRDefault="0034365F" w:rsidP="0034365F">
      <w:pPr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hyperlink r:id="rId13" w:history="1">
        <w:r w:rsidRPr="0034365F">
          <w:rPr>
            <w:rStyle w:val="Hyperlink"/>
            <w:color w:val="00688C"/>
            <w:sz w:val="18"/>
            <w:szCs w:val="18"/>
          </w:rPr>
          <w:t>Education</w:t>
        </w:r>
      </w:hyperlink>
    </w:p>
    <w:p w14:paraId="6C85977C" w14:textId="77777777" w:rsidR="0034365F" w:rsidRPr="0034365F" w:rsidRDefault="0034365F" w:rsidP="0034365F">
      <w:pPr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hyperlink r:id="rId14" w:history="1">
        <w:r w:rsidRPr="0034365F">
          <w:rPr>
            <w:rStyle w:val="Hyperlink"/>
            <w:color w:val="00688C"/>
            <w:sz w:val="18"/>
            <w:szCs w:val="18"/>
          </w:rPr>
          <w:t>Technical Forums</w:t>
        </w:r>
      </w:hyperlink>
    </w:p>
    <w:p w14:paraId="5C115174" w14:textId="77777777" w:rsidR="0034365F" w:rsidRPr="0034365F" w:rsidRDefault="0034365F" w:rsidP="0034365F">
      <w:pPr>
        <w:numPr>
          <w:ilvl w:val="0"/>
          <w:numId w:val="2"/>
        </w:numPr>
        <w:spacing w:after="144" w:line="240" w:lineRule="auto"/>
        <w:rPr>
          <w:sz w:val="18"/>
          <w:szCs w:val="18"/>
        </w:rPr>
      </w:pPr>
      <w:r w:rsidRPr="0034365F">
        <w:rPr>
          <w:sz w:val="18"/>
          <w:szCs w:val="18"/>
        </w:rPr>
        <w:t> </w:t>
      </w:r>
    </w:p>
    <w:p w14:paraId="1F6EAE14" w14:textId="77777777" w:rsidR="0034365F" w:rsidRPr="0034365F" w:rsidRDefault="0034365F" w:rsidP="0034365F">
      <w:pPr>
        <w:pStyle w:val="Kop5"/>
        <w:spacing w:before="0" w:beforeAutospacing="0" w:after="96" w:afterAutospacing="0"/>
        <w:rPr>
          <w:b w:val="0"/>
          <w:bCs w:val="0"/>
          <w:color w:val="000000"/>
          <w:sz w:val="18"/>
          <w:szCs w:val="18"/>
        </w:rPr>
      </w:pPr>
      <w:r w:rsidRPr="0034365F">
        <w:rPr>
          <w:b w:val="0"/>
          <w:bCs w:val="0"/>
          <w:color w:val="000000"/>
          <w:sz w:val="18"/>
          <w:szCs w:val="18"/>
        </w:rPr>
        <w:t>Documentation</w:t>
      </w:r>
    </w:p>
    <w:p w14:paraId="7418EE0F" w14:textId="77777777" w:rsidR="0034365F" w:rsidRPr="0034365F" w:rsidRDefault="0034365F" w:rsidP="0034365F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hyperlink r:id="rId15" w:history="1">
        <w:r w:rsidRPr="0034365F">
          <w:rPr>
            <w:rStyle w:val="Hyperlink"/>
            <w:color w:val="00688C"/>
            <w:sz w:val="18"/>
            <w:szCs w:val="18"/>
          </w:rPr>
          <w:t>Rdb Release 7.4</w:t>
        </w:r>
      </w:hyperlink>
    </w:p>
    <w:p w14:paraId="7B71A983" w14:textId="77777777" w:rsidR="0034365F" w:rsidRPr="0034365F" w:rsidRDefault="0034365F" w:rsidP="0034365F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hyperlink r:id="rId16" w:history="1">
        <w:r w:rsidRPr="0034365F">
          <w:rPr>
            <w:rStyle w:val="Hyperlink"/>
            <w:color w:val="00688C"/>
            <w:sz w:val="18"/>
            <w:szCs w:val="18"/>
          </w:rPr>
          <w:t>Rdb Release 7.3</w:t>
        </w:r>
      </w:hyperlink>
    </w:p>
    <w:p w14:paraId="5280EE5D" w14:textId="77777777" w:rsidR="0034365F" w:rsidRPr="0034365F" w:rsidRDefault="0034365F" w:rsidP="0034365F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hyperlink r:id="rId17" w:history="1">
        <w:r w:rsidRPr="0034365F">
          <w:rPr>
            <w:rStyle w:val="Hyperlink"/>
            <w:color w:val="00688C"/>
            <w:sz w:val="18"/>
            <w:szCs w:val="18"/>
          </w:rPr>
          <w:t>Rdb Release 7.2</w:t>
        </w:r>
      </w:hyperlink>
    </w:p>
    <w:p w14:paraId="374555A7" w14:textId="77777777" w:rsidR="0034365F" w:rsidRPr="0034365F" w:rsidRDefault="0034365F" w:rsidP="0034365F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hyperlink r:id="rId18" w:history="1">
        <w:r w:rsidRPr="0034365F">
          <w:rPr>
            <w:rStyle w:val="Hyperlink"/>
            <w:color w:val="00688C"/>
            <w:sz w:val="18"/>
            <w:szCs w:val="18"/>
          </w:rPr>
          <w:t>Rdb Release 7.1</w:t>
        </w:r>
      </w:hyperlink>
    </w:p>
    <w:p w14:paraId="79F3C8C6" w14:textId="77777777" w:rsidR="0034365F" w:rsidRPr="0034365F" w:rsidRDefault="0034365F" w:rsidP="0034365F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hyperlink r:id="rId19" w:history="1">
        <w:r w:rsidRPr="0034365F">
          <w:rPr>
            <w:rStyle w:val="Hyperlink"/>
            <w:color w:val="00688C"/>
            <w:sz w:val="18"/>
            <w:szCs w:val="18"/>
          </w:rPr>
          <w:t>Rdb Release 7.0</w:t>
        </w:r>
      </w:hyperlink>
    </w:p>
    <w:p w14:paraId="186A3D5B" w14:textId="77777777" w:rsidR="0034365F" w:rsidRPr="0034365F" w:rsidRDefault="0034365F" w:rsidP="0034365F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hyperlink r:id="rId20" w:history="1">
        <w:r w:rsidRPr="0034365F">
          <w:rPr>
            <w:rStyle w:val="Hyperlink"/>
            <w:color w:val="00688C"/>
            <w:sz w:val="18"/>
            <w:szCs w:val="18"/>
          </w:rPr>
          <w:t>Rdb Related Products</w:t>
        </w:r>
      </w:hyperlink>
    </w:p>
    <w:p w14:paraId="3EC0956A" w14:textId="77777777" w:rsidR="0034365F" w:rsidRPr="0034365F" w:rsidRDefault="0034365F" w:rsidP="0034365F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hyperlink r:id="rId21" w:history="1">
        <w:r w:rsidRPr="0034365F">
          <w:rPr>
            <w:rStyle w:val="Hyperlink"/>
            <w:color w:val="00688C"/>
            <w:sz w:val="18"/>
            <w:szCs w:val="18"/>
          </w:rPr>
          <w:t>Translations</w:t>
        </w:r>
      </w:hyperlink>
    </w:p>
    <w:p w14:paraId="74A34756" w14:textId="58B7D738" w:rsidR="007E21C5" w:rsidRPr="0034365F" w:rsidRDefault="007E21C5">
      <w:pPr>
        <w:rPr>
          <w:sz w:val="18"/>
          <w:szCs w:val="18"/>
        </w:rPr>
      </w:pPr>
    </w:p>
    <w:p w14:paraId="1FC85C68" w14:textId="0C763300" w:rsidR="0034365F" w:rsidRDefault="009439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7D0419D" wp14:editId="6866259A">
            <wp:extent cx="5943600" cy="3994150"/>
            <wp:effectExtent l="0" t="0" r="0" b="6350"/>
            <wp:docPr id="2" name="Afbeelding 2" descr="Afbeelding met tekst, schermafbeelding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, binnen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383B" w14:textId="6A6CEFDF" w:rsidR="00077A6D" w:rsidRDefault="00077A6D">
      <w:pPr>
        <w:rPr>
          <w:sz w:val="18"/>
          <w:szCs w:val="18"/>
        </w:rPr>
      </w:pPr>
    </w:p>
    <w:p w14:paraId="703B1FF1" w14:textId="77777777" w:rsidR="00077A6D" w:rsidRDefault="00077A6D">
      <w:pPr>
        <w:rPr>
          <w:sz w:val="18"/>
          <w:szCs w:val="18"/>
        </w:rPr>
      </w:pPr>
    </w:p>
    <w:tbl>
      <w:tblPr>
        <w:tblW w:w="7543" w:type="dxa"/>
        <w:tblBorders>
          <w:top w:val="single" w:sz="6" w:space="0" w:color="7A736E"/>
          <w:left w:val="single" w:sz="6" w:space="0" w:color="7A736E"/>
          <w:bottom w:val="single" w:sz="6" w:space="0" w:color="7A736E"/>
          <w:right w:val="single" w:sz="6" w:space="0" w:color="7A736E"/>
        </w:tblBorders>
        <w:shd w:val="clear" w:color="auto" w:fill="FBF9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178"/>
        <w:gridCol w:w="1409"/>
        <w:gridCol w:w="1196"/>
        <w:gridCol w:w="1290"/>
        <w:gridCol w:w="1350"/>
      </w:tblGrid>
      <w:tr w:rsidR="00077A6D" w:rsidRPr="00077A6D" w14:paraId="11E9C695" w14:textId="77777777" w:rsidTr="00077A6D">
        <w:trPr>
          <w:tblHeader/>
        </w:trPr>
        <w:tc>
          <w:tcPr>
            <w:tcW w:w="11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D9D9D9" w:themeFill="background1" w:themeFillShade="D9"/>
            <w:tcMar>
              <w:top w:w="332" w:type="dxa"/>
              <w:left w:w="332" w:type="dxa"/>
              <w:bottom w:w="332" w:type="dxa"/>
              <w:right w:w="332" w:type="dxa"/>
            </w:tcMar>
            <w:vAlign w:val="center"/>
            <w:hideMark/>
          </w:tcPr>
          <w:p w14:paraId="3414EF2B" w14:textId="77777777" w:rsidR="00077A6D" w:rsidRPr="00077A6D" w:rsidRDefault="00077A6D" w:rsidP="00077A6D">
            <w:pPr>
              <w:pStyle w:val="Geenafstand"/>
              <w:rPr>
                <w:b/>
                <w:bCs/>
                <w:sz w:val="16"/>
                <w:szCs w:val="16"/>
                <w:lang w:eastAsia="nl-NL"/>
              </w:rPr>
            </w:pPr>
            <w:bookmarkStart w:id="0" w:name="_Hlk71551511"/>
            <w:r w:rsidRPr="00077A6D">
              <w:rPr>
                <w:b/>
                <w:bCs/>
                <w:sz w:val="16"/>
                <w:szCs w:val="16"/>
                <w:lang w:eastAsia="nl-NL"/>
              </w:rPr>
              <w:lastRenderedPageBreak/>
              <w:t>Product</w:t>
            </w:r>
          </w:p>
        </w:tc>
        <w:tc>
          <w:tcPr>
            <w:tcW w:w="1166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D9D9D9" w:themeFill="background1" w:themeFillShade="D9"/>
            <w:tcMar>
              <w:top w:w="332" w:type="dxa"/>
              <w:left w:w="332" w:type="dxa"/>
              <w:bottom w:w="332" w:type="dxa"/>
              <w:right w:w="332" w:type="dxa"/>
            </w:tcMar>
            <w:vAlign w:val="center"/>
            <w:hideMark/>
          </w:tcPr>
          <w:p w14:paraId="222807AF" w14:textId="77777777" w:rsidR="00077A6D" w:rsidRPr="00077A6D" w:rsidRDefault="00077A6D" w:rsidP="00077A6D">
            <w:pPr>
              <w:pStyle w:val="Geenafstand"/>
              <w:rPr>
                <w:b/>
                <w:bCs/>
                <w:sz w:val="16"/>
                <w:szCs w:val="16"/>
                <w:lang w:eastAsia="nl-NL"/>
              </w:rPr>
            </w:pPr>
            <w:r w:rsidRPr="00077A6D">
              <w:rPr>
                <w:b/>
                <w:bCs/>
                <w:sz w:val="16"/>
                <w:szCs w:val="16"/>
                <w:lang w:eastAsia="nl-NL"/>
              </w:rPr>
              <w:t>Release</w:t>
            </w:r>
          </w:p>
        </w:tc>
        <w:tc>
          <w:tcPr>
            <w:tcW w:w="1409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D9D9D9" w:themeFill="background1" w:themeFillShade="D9"/>
            <w:tcMar>
              <w:top w:w="332" w:type="dxa"/>
              <w:left w:w="332" w:type="dxa"/>
              <w:bottom w:w="332" w:type="dxa"/>
              <w:right w:w="332" w:type="dxa"/>
            </w:tcMar>
            <w:vAlign w:val="center"/>
            <w:hideMark/>
          </w:tcPr>
          <w:p w14:paraId="74BB8DDA" w14:textId="77777777" w:rsidR="00077A6D" w:rsidRPr="00077A6D" w:rsidRDefault="00077A6D" w:rsidP="00077A6D">
            <w:pPr>
              <w:pStyle w:val="Geenafstand"/>
              <w:rPr>
                <w:b/>
                <w:bCs/>
                <w:sz w:val="16"/>
                <w:szCs w:val="16"/>
                <w:lang w:eastAsia="nl-NL"/>
              </w:rPr>
            </w:pPr>
            <w:r w:rsidRPr="00077A6D">
              <w:rPr>
                <w:b/>
                <w:bCs/>
                <w:sz w:val="16"/>
                <w:szCs w:val="16"/>
                <w:lang w:eastAsia="nl-NL"/>
              </w:rPr>
              <w:t>General Availability</w:t>
            </w:r>
          </w:p>
        </w:tc>
        <w:tc>
          <w:tcPr>
            <w:tcW w:w="1184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D9D9D9" w:themeFill="background1" w:themeFillShade="D9"/>
            <w:tcMar>
              <w:top w:w="332" w:type="dxa"/>
              <w:left w:w="332" w:type="dxa"/>
              <w:bottom w:w="332" w:type="dxa"/>
              <w:right w:w="332" w:type="dxa"/>
            </w:tcMar>
            <w:vAlign w:val="center"/>
            <w:hideMark/>
          </w:tcPr>
          <w:p w14:paraId="5A3DD6C2" w14:textId="77777777" w:rsidR="00077A6D" w:rsidRPr="00077A6D" w:rsidRDefault="00077A6D" w:rsidP="00077A6D">
            <w:pPr>
              <w:pStyle w:val="Geenafstand"/>
              <w:rPr>
                <w:b/>
                <w:bCs/>
                <w:sz w:val="16"/>
                <w:szCs w:val="16"/>
                <w:lang w:eastAsia="nl-NL"/>
              </w:rPr>
            </w:pPr>
            <w:r w:rsidRPr="00077A6D">
              <w:rPr>
                <w:b/>
                <w:bCs/>
                <w:sz w:val="16"/>
                <w:szCs w:val="16"/>
                <w:lang w:eastAsia="nl-NL"/>
              </w:rPr>
              <w:t>Premier Support Ends</w:t>
            </w:r>
          </w:p>
        </w:tc>
        <w:tc>
          <w:tcPr>
            <w:tcW w:w="12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D9D9D9" w:themeFill="background1" w:themeFillShade="D9"/>
            <w:tcMar>
              <w:top w:w="332" w:type="dxa"/>
              <w:left w:w="332" w:type="dxa"/>
              <w:bottom w:w="332" w:type="dxa"/>
              <w:right w:w="332" w:type="dxa"/>
            </w:tcMar>
            <w:vAlign w:val="center"/>
            <w:hideMark/>
          </w:tcPr>
          <w:p w14:paraId="1164C658" w14:textId="77777777" w:rsidR="00077A6D" w:rsidRPr="00077A6D" w:rsidRDefault="00077A6D" w:rsidP="00077A6D">
            <w:pPr>
              <w:pStyle w:val="Geenafstand"/>
              <w:rPr>
                <w:b/>
                <w:bCs/>
                <w:sz w:val="16"/>
                <w:szCs w:val="16"/>
                <w:lang w:eastAsia="nl-NL"/>
              </w:rPr>
            </w:pPr>
            <w:r w:rsidRPr="00077A6D">
              <w:rPr>
                <w:b/>
                <w:bCs/>
                <w:sz w:val="16"/>
                <w:szCs w:val="16"/>
                <w:lang w:eastAsia="nl-NL"/>
              </w:rPr>
              <w:t>Extended Support Ends</w:t>
            </w:r>
          </w:p>
        </w:tc>
        <w:tc>
          <w:tcPr>
            <w:tcW w:w="1330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D9D9D9" w:themeFill="background1" w:themeFillShade="D9"/>
            <w:tcMar>
              <w:top w:w="332" w:type="dxa"/>
              <w:left w:w="332" w:type="dxa"/>
              <w:bottom w:w="332" w:type="dxa"/>
              <w:right w:w="332" w:type="dxa"/>
            </w:tcMar>
            <w:vAlign w:val="center"/>
            <w:hideMark/>
          </w:tcPr>
          <w:p w14:paraId="6219C6BA" w14:textId="77777777" w:rsidR="00077A6D" w:rsidRPr="00077A6D" w:rsidRDefault="00077A6D" w:rsidP="00077A6D">
            <w:pPr>
              <w:pStyle w:val="Geenafstand"/>
              <w:rPr>
                <w:b/>
                <w:bCs/>
                <w:sz w:val="16"/>
                <w:szCs w:val="16"/>
                <w:lang w:eastAsia="nl-NL"/>
              </w:rPr>
            </w:pPr>
            <w:r w:rsidRPr="00077A6D">
              <w:rPr>
                <w:b/>
                <w:bCs/>
                <w:sz w:val="16"/>
                <w:szCs w:val="16"/>
                <w:lang w:eastAsia="nl-NL"/>
              </w:rPr>
              <w:t>Sustaining Support Ends</w:t>
            </w:r>
          </w:p>
        </w:tc>
      </w:tr>
      <w:tr w:rsidR="00077A6D" w:rsidRPr="00077A6D" w14:paraId="5A03C56C" w14:textId="77777777" w:rsidTr="00077A6D">
        <w:tc>
          <w:tcPr>
            <w:tcW w:w="11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740304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Oracle Rdb</w:t>
            </w:r>
          </w:p>
        </w:tc>
        <w:tc>
          <w:tcPr>
            <w:tcW w:w="1166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A495D6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7.0</w:t>
            </w:r>
          </w:p>
        </w:tc>
        <w:tc>
          <w:tcPr>
            <w:tcW w:w="1409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14DD00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Oct 1996</w:t>
            </w:r>
          </w:p>
        </w:tc>
        <w:tc>
          <w:tcPr>
            <w:tcW w:w="1184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6F33ED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Aug 2007</w:t>
            </w:r>
          </w:p>
        </w:tc>
        <w:tc>
          <w:tcPr>
            <w:tcW w:w="12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27C65E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Aug 2009</w:t>
            </w:r>
          </w:p>
        </w:tc>
        <w:tc>
          <w:tcPr>
            <w:tcW w:w="1330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F1D1A0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Indefinite</w:t>
            </w:r>
          </w:p>
        </w:tc>
      </w:tr>
      <w:tr w:rsidR="00077A6D" w:rsidRPr="00077A6D" w14:paraId="5A0F0BD3" w14:textId="77777777" w:rsidTr="00077A6D">
        <w:tc>
          <w:tcPr>
            <w:tcW w:w="11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B99DD1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E8561C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7.1</w:t>
            </w:r>
          </w:p>
        </w:tc>
        <w:tc>
          <w:tcPr>
            <w:tcW w:w="1409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3C3B53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Jul 2001</w:t>
            </w:r>
          </w:p>
        </w:tc>
        <w:tc>
          <w:tcPr>
            <w:tcW w:w="1184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BCC01C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Dec 2007</w:t>
            </w:r>
          </w:p>
        </w:tc>
        <w:tc>
          <w:tcPr>
            <w:tcW w:w="12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22CDA9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Dec 2010</w:t>
            </w:r>
          </w:p>
        </w:tc>
        <w:tc>
          <w:tcPr>
            <w:tcW w:w="1330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389DEB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Indefinite</w:t>
            </w:r>
          </w:p>
        </w:tc>
      </w:tr>
      <w:tr w:rsidR="00077A6D" w:rsidRPr="00077A6D" w14:paraId="5B824C99" w14:textId="77777777" w:rsidTr="00077A6D">
        <w:tc>
          <w:tcPr>
            <w:tcW w:w="11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45741F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849445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7.2</w:t>
            </w:r>
          </w:p>
        </w:tc>
        <w:tc>
          <w:tcPr>
            <w:tcW w:w="1409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38C7BA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Jan 2006</w:t>
            </w:r>
          </w:p>
        </w:tc>
        <w:tc>
          <w:tcPr>
            <w:tcW w:w="1184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52E7F0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Jul 2015</w:t>
            </w:r>
          </w:p>
        </w:tc>
        <w:tc>
          <w:tcPr>
            <w:tcW w:w="12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98B2F7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Jul 2017</w:t>
            </w:r>
          </w:p>
        </w:tc>
        <w:tc>
          <w:tcPr>
            <w:tcW w:w="1330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1659DE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Indefinite</w:t>
            </w:r>
          </w:p>
        </w:tc>
      </w:tr>
      <w:tr w:rsidR="00077A6D" w:rsidRPr="00077A6D" w14:paraId="33FFA692" w14:textId="77777777" w:rsidTr="00077A6D">
        <w:tc>
          <w:tcPr>
            <w:tcW w:w="11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C17734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06D5C5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7.3</w:t>
            </w:r>
          </w:p>
        </w:tc>
        <w:tc>
          <w:tcPr>
            <w:tcW w:w="1409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438BCE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Mar 2011</w:t>
            </w:r>
          </w:p>
        </w:tc>
        <w:tc>
          <w:tcPr>
            <w:tcW w:w="1184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57423D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Sep 2020</w:t>
            </w:r>
          </w:p>
        </w:tc>
        <w:tc>
          <w:tcPr>
            <w:tcW w:w="12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950749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Sep 2023</w:t>
            </w:r>
          </w:p>
        </w:tc>
        <w:tc>
          <w:tcPr>
            <w:tcW w:w="1330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454F4A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Indefinite</w:t>
            </w:r>
          </w:p>
        </w:tc>
      </w:tr>
      <w:tr w:rsidR="00077A6D" w:rsidRPr="00077A6D" w14:paraId="29E33508" w14:textId="77777777" w:rsidTr="00077A6D">
        <w:tc>
          <w:tcPr>
            <w:tcW w:w="11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A5FCF6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E665FA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7.4</w:t>
            </w:r>
          </w:p>
        </w:tc>
        <w:tc>
          <w:tcPr>
            <w:tcW w:w="1409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E2DDFF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Aug 2020</w:t>
            </w:r>
          </w:p>
        </w:tc>
        <w:tc>
          <w:tcPr>
            <w:tcW w:w="1184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6B3FA1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Sep 2023</w:t>
            </w:r>
          </w:p>
        </w:tc>
        <w:tc>
          <w:tcPr>
            <w:tcW w:w="1277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74BB9C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Not Available</w:t>
            </w:r>
          </w:p>
        </w:tc>
        <w:tc>
          <w:tcPr>
            <w:tcW w:w="1330" w:type="dxa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BF9F8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4E2B63" w14:textId="77777777" w:rsidR="00077A6D" w:rsidRPr="00077A6D" w:rsidRDefault="00077A6D" w:rsidP="00077A6D">
            <w:pPr>
              <w:pStyle w:val="Geenafstand"/>
              <w:rPr>
                <w:color w:val="161513"/>
                <w:sz w:val="16"/>
                <w:szCs w:val="16"/>
                <w:lang w:eastAsia="nl-NL"/>
              </w:rPr>
            </w:pPr>
            <w:r w:rsidRPr="00077A6D">
              <w:rPr>
                <w:color w:val="161513"/>
                <w:sz w:val="16"/>
                <w:szCs w:val="16"/>
                <w:lang w:eastAsia="nl-NL"/>
              </w:rPr>
              <w:t>Indefinite</w:t>
            </w:r>
          </w:p>
        </w:tc>
      </w:tr>
      <w:bookmarkEnd w:id="0"/>
    </w:tbl>
    <w:p w14:paraId="6D8DF3C6" w14:textId="2B9426A3" w:rsidR="00943914" w:rsidRDefault="00943914">
      <w:pPr>
        <w:rPr>
          <w:sz w:val="18"/>
          <w:szCs w:val="18"/>
        </w:rPr>
      </w:pPr>
    </w:p>
    <w:p w14:paraId="6D9B0FF5" w14:textId="77777777" w:rsidR="00077A6D" w:rsidRPr="0034365F" w:rsidRDefault="00077A6D">
      <w:pPr>
        <w:rPr>
          <w:sz w:val="18"/>
          <w:szCs w:val="18"/>
        </w:rPr>
      </w:pPr>
    </w:p>
    <w:sectPr w:rsidR="00077A6D" w:rsidRPr="0034365F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796"/>
    <w:multiLevelType w:val="multilevel"/>
    <w:tmpl w:val="4758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C192A"/>
    <w:multiLevelType w:val="multilevel"/>
    <w:tmpl w:val="181E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70614"/>
    <w:multiLevelType w:val="multilevel"/>
    <w:tmpl w:val="D40E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92"/>
    <w:rsid w:val="00077A6D"/>
    <w:rsid w:val="00115B05"/>
    <w:rsid w:val="0034365F"/>
    <w:rsid w:val="00570192"/>
    <w:rsid w:val="007E21C5"/>
    <w:rsid w:val="00943914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2478"/>
  <w15:chartTrackingRefBased/>
  <w15:docId w15:val="{7E5C4A68-4651-4A06-9C04-37F4D646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343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5">
    <w:name w:val="heading 5"/>
    <w:basedOn w:val="Standaard"/>
    <w:link w:val="Kop5Char"/>
    <w:uiPriority w:val="9"/>
    <w:qFormat/>
    <w:rsid w:val="003436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E21C5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E21C5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34365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34365F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343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077A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357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91187">
                  <w:marLeft w:val="-270"/>
                  <w:marRight w:val="-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698">
                      <w:marLeft w:val="270"/>
                      <w:marRight w:val="27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929901">
                      <w:marLeft w:val="270"/>
                      <w:marRight w:val="27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nl/database/technologies/rdb-learnmore-orardb-lifesupport.html" TargetMode="External"/><Relationship Id="rId13" Type="http://schemas.openxmlformats.org/officeDocument/2006/relationships/hyperlink" Target="https://www.oracle.com/nl/database/technologies/related/rdb-training.html" TargetMode="External"/><Relationship Id="rId18" Type="http://schemas.openxmlformats.org/officeDocument/2006/relationships/hyperlink" Target="https://www.oracle.com/nl/database/technologies/related/rdb-do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racle.com/nl/database/technologies/related/rdb-doc-jpn.html" TargetMode="External"/><Relationship Id="rId7" Type="http://schemas.openxmlformats.org/officeDocument/2006/relationships/hyperlink" Target="https://www.oracle.com/nl/database/technologies/related/rdb-pmatrix.html" TargetMode="External"/><Relationship Id="rId12" Type="http://schemas.openxmlformats.org/officeDocument/2006/relationships/hyperlink" Target="https://www.oracle.com/nl/database/technologies/related/rdb-archive-index.html" TargetMode="External"/><Relationship Id="rId17" Type="http://schemas.openxmlformats.org/officeDocument/2006/relationships/hyperlink" Target="https://www.oracle.com/nl/database/technologies/related/rdb-do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acle.com/nl/database/technologies/related/rdb-doc.html" TargetMode="External"/><Relationship Id="rId20" Type="http://schemas.openxmlformats.org/officeDocument/2006/relationships/hyperlink" Target="https://www.oracle.com/nl/database/technologies/related/rdb-doc-rlp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oracle.com/nl/database/technologies/related/rdb-technical-journal-idx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racle.com/nl/database/technologies/related/rdb.html" TargetMode="External"/><Relationship Id="rId15" Type="http://schemas.openxmlformats.org/officeDocument/2006/relationships/hyperlink" Target="https://www.oracle.com/nl/database/technologies/related/rdb-doc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oracle.com/nl/database/technologies/related/alpha-vax-emulators.html" TargetMode="External"/><Relationship Id="rId19" Type="http://schemas.openxmlformats.org/officeDocument/2006/relationships/hyperlink" Target="https://www.oracle.com/nl/database/technologies/related/rdb-d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nl/database/technologies/related/rdb-statement-of-direction.html" TargetMode="External"/><Relationship Id="rId14" Type="http://schemas.openxmlformats.org/officeDocument/2006/relationships/hyperlink" Target="https://www.oracle.com/nl/database/technologies/related/technical-forums.htm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510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</cp:revision>
  <dcterms:created xsi:type="dcterms:W3CDTF">2021-05-10T12:57:00Z</dcterms:created>
  <dcterms:modified xsi:type="dcterms:W3CDTF">2021-05-10T13:07:00Z</dcterms:modified>
</cp:coreProperties>
</file>