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BEE73" w14:textId="5EF086DD" w:rsidR="00EB3091" w:rsidRPr="000A2D27" w:rsidRDefault="00EB3091" w:rsidP="00EB3091">
      <w:pPr>
        <w:spacing w:after="96" w:line="240" w:lineRule="auto"/>
        <w:outlineLvl w:val="0"/>
        <w:rPr>
          <w:rFonts w:ascii="Times New Roman" w:eastAsia="Times New Roman" w:hAnsi="Times New Roman" w:cs="Times New Roman"/>
          <w:kern w:val="36"/>
          <w:sz w:val="18"/>
          <w:szCs w:val="18"/>
          <w:lang w:val="en-NL" w:eastAsia="en-NL"/>
        </w:rPr>
      </w:pPr>
      <w:r w:rsidRPr="000A2D27">
        <w:rPr>
          <w:rFonts w:ascii="Times New Roman" w:eastAsia="Times New Roman" w:hAnsi="Times New Roman" w:cs="Times New Roman"/>
          <w:kern w:val="36"/>
          <w:sz w:val="18"/>
          <w:szCs w:val="18"/>
          <w:lang w:val="en-NL" w:eastAsia="en-NL"/>
        </w:rPr>
        <w:fldChar w:fldCharType="begin"/>
      </w:r>
      <w:r w:rsidRPr="000A2D27">
        <w:rPr>
          <w:rFonts w:ascii="Times New Roman" w:eastAsia="Times New Roman" w:hAnsi="Times New Roman" w:cs="Times New Roman"/>
          <w:kern w:val="36"/>
          <w:sz w:val="18"/>
          <w:szCs w:val="18"/>
          <w:lang w:val="en-NL" w:eastAsia="en-NL"/>
        </w:rPr>
        <w:instrText xml:space="preserve"> HYPERLINK "</w:instrText>
      </w:r>
      <w:r w:rsidRPr="000A2D27">
        <w:rPr>
          <w:rFonts w:ascii="Times New Roman" w:eastAsia="Times New Roman" w:hAnsi="Times New Roman" w:cs="Times New Roman"/>
          <w:kern w:val="36"/>
          <w:sz w:val="18"/>
          <w:szCs w:val="18"/>
          <w:lang w:val="en-NL" w:eastAsia="en-NL"/>
        </w:rPr>
        <w:instrText>https://www.oracle.com/database/technologies/standard-edition-2-faq.html</w:instrText>
      </w:r>
      <w:r w:rsidRPr="000A2D27">
        <w:rPr>
          <w:rFonts w:ascii="Times New Roman" w:eastAsia="Times New Roman" w:hAnsi="Times New Roman" w:cs="Times New Roman"/>
          <w:kern w:val="36"/>
          <w:sz w:val="18"/>
          <w:szCs w:val="18"/>
          <w:lang w:val="en-NL" w:eastAsia="en-NL"/>
        </w:rPr>
        <w:instrText xml:space="preserve">" </w:instrText>
      </w:r>
      <w:r w:rsidRPr="000A2D27">
        <w:rPr>
          <w:rFonts w:ascii="Times New Roman" w:eastAsia="Times New Roman" w:hAnsi="Times New Roman" w:cs="Times New Roman"/>
          <w:kern w:val="36"/>
          <w:sz w:val="18"/>
          <w:szCs w:val="18"/>
          <w:lang w:val="en-NL" w:eastAsia="en-NL"/>
        </w:rPr>
        <w:fldChar w:fldCharType="separate"/>
      </w:r>
      <w:r w:rsidRPr="000A2D27">
        <w:rPr>
          <w:rStyle w:val="Hyperlink"/>
          <w:rFonts w:ascii="Times New Roman" w:eastAsia="Times New Roman" w:hAnsi="Times New Roman" w:cs="Times New Roman"/>
          <w:kern w:val="36"/>
          <w:sz w:val="18"/>
          <w:szCs w:val="18"/>
          <w:lang w:val="en-NL" w:eastAsia="en-NL"/>
        </w:rPr>
        <w:t>https://www.oracle.com/database/technologies/standard-edition-2-faq.html</w:t>
      </w:r>
      <w:r w:rsidRPr="000A2D27">
        <w:rPr>
          <w:rFonts w:ascii="Times New Roman" w:eastAsia="Times New Roman" w:hAnsi="Times New Roman" w:cs="Times New Roman"/>
          <w:kern w:val="36"/>
          <w:sz w:val="18"/>
          <w:szCs w:val="18"/>
          <w:lang w:val="en-NL" w:eastAsia="en-NL"/>
        </w:rPr>
        <w:fldChar w:fldCharType="end"/>
      </w:r>
    </w:p>
    <w:p w14:paraId="79DDBACA" w14:textId="77777777" w:rsidR="00EB3091" w:rsidRPr="000A2D27" w:rsidRDefault="00EB3091" w:rsidP="00EB3091">
      <w:pPr>
        <w:spacing w:after="96" w:line="240" w:lineRule="auto"/>
        <w:outlineLvl w:val="0"/>
        <w:rPr>
          <w:rFonts w:ascii="Times New Roman" w:eastAsia="Times New Roman" w:hAnsi="Times New Roman" w:cs="Times New Roman"/>
          <w:kern w:val="36"/>
          <w:sz w:val="18"/>
          <w:szCs w:val="18"/>
          <w:lang w:val="en-NL" w:eastAsia="en-NL"/>
        </w:rPr>
      </w:pPr>
    </w:p>
    <w:p w14:paraId="705D38DC" w14:textId="4B8C35E2" w:rsidR="00EB3091" w:rsidRPr="00EB3091" w:rsidRDefault="00EB3091" w:rsidP="00EB3091">
      <w:pPr>
        <w:spacing w:after="96" w:line="240" w:lineRule="auto"/>
        <w:outlineLvl w:val="0"/>
        <w:rPr>
          <w:rFonts w:ascii="Times New Roman" w:eastAsia="Times New Roman" w:hAnsi="Times New Roman" w:cs="Times New Roman"/>
          <w:kern w:val="36"/>
          <w:sz w:val="18"/>
          <w:szCs w:val="18"/>
          <w:lang w:val="en-NL" w:eastAsia="en-NL"/>
        </w:rPr>
      </w:pPr>
      <w:r w:rsidRPr="00EB3091">
        <w:rPr>
          <w:rFonts w:ascii="Times New Roman" w:eastAsia="Times New Roman" w:hAnsi="Times New Roman" w:cs="Times New Roman"/>
          <w:kern w:val="36"/>
          <w:sz w:val="18"/>
          <w:szCs w:val="18"/>
          <w:lang w:val="en-NL" w:eastAsia="en-NL"/>
        </w:rPr>
        <w:t>Oracle Database Standard Edition 2 - FAQ</w:t>
      </w:r>
    </w:p>
    <w:p w14:paraId="435B52BF" w14:textId="77777777" w:rsidR="00EB3091" w:rsidRPr="00EB3091" w:rsidRDefault="00EB3091" w:rsidP="00EB3091">
      <w:pPr>
        <w:spacing w:after="96" w:line="240" w:lineRule="auto"/>
        <w:outlineLvl w:val="3"/>
        <w:rPr>
          <w:rFonts w:ascii="Times New Roman" w:eastAsia="Times New Roman" w:hAnsi="Times New Roman" w:cs="Times New Roman"/>
          <w:b/>
          <w:bCs/>
          <w:color w:val="000000"/>
          <w:sz w:val="18"/>
          <w:szCs w:val="18"/>
          <w:lang w:val="en-NL" w:eastAsia="en-NL"/>
        </w:rPr>
      </w:pPr>
      <w:r w:rsidRPr="00EB3091">
        <w:rPr>
          <w:rFonts w:ascii="Times New Roman" w:eastAsia="Times New Roman" w:hAnsi="Times New Roman" w:cs="Times New Roman"/>
          <w:b/>
          <w:bCs/>
          <w:color w:val="000000"/>
          <w:sz w:val="18"/>
          <w:szCs w:val="18"/>
          <w:lang w:val="en-NL" w:eastAsia="en-NL"/>
        </w:rPr>
        <w:t>Affordable, Full-Featured Database for SMB Customers</w:t>
      </w:r>
    </w:p>
    <w:p w14:paraId="218248EC" w14:textId="77777777" w:rsidR="00EB3091" w:rsidRPr="00EB3091" w:rsidRDefault="00EB3091" w:rsidP="00EB3091">
      <w:pPr>
        <w:spacing w:after="264" w:line="240" w:lineRule="auto"/>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sz w:val="18"/>
          <w:szCs w:val="18"/>
          <w:lang w:val="en-NL" w:eastAsia="en-NL"/>
        </w:rPr>
        <w:t>Oracle Database Standard Edition 2 (SE2) is an affordable, full-featured database built for unprecedented ease of use, power, and performance. From single-server environments for small business to highly distributed branch environments, Oracle Database SE2 includes all the features necessary to build business applications. Despite it's competitive pricing it provides industry leading work-group scalability, availability and security for both OLTP and analytical workloads. It supports relational, JSON, XML, spatial, graph and unstructured data, enabling you to focus on building applications without having to worry about how to persist such data.</w:t>
      </w:r>
    </w:p>
    <w:p w14:paraId="1E344FEA" w14:textId="440A6395" w:rsidR="00EB3091" w:rsidRPr="000A2D27" w:rsidRDefault="00EB3091" w:rsidP="00EB3091">
      <w:pPr>
        <w:spacing w:after="0" w:line="240" w:lineRule="auto"/>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b/>
          <w:bCs/>
          <w:color w:val="FF0000"/>
          <w:sz w:val="18"/>
          <w:szCs w:val="18"/>
          <w:lang w:val="en-NL" w:eastAsia="en-NL"/>
        </w:rPr>
        <w:t>Oracle Database SE2 can be licensed on servers with a maximum of 2 sockets</w:t>
      </w:r>
      <w:r w:rsidRPr="00EB3091">
        <w:rPr>
          <w:rFonts w:ascii="Times New Roman" w:eastAsia="Times New Roman" w:hAnsi="Times New Roman" w:cs="Times New Roman"/>
          <w:sz w:val="18"/>
          <w:szCs w:val="18"/>
          <w:lang w:val="en-NL" w:eastAsia="en-NL"/>
        </w:rPr>
        <w:t>. However, the core counts per 2-socket server can increase over time without impacting customer license obligation. With Oracle Database SE2, customer license costs remain the same regardless of the number of cores in the socket.</w:t>
      </w:r>
    </w:p>
    <w:p w14:paraId="5D9B2318" w14:textId="77777777" w:rsidR="00264E4E" w:rsidRPr="00EB3091" w:rsidRDefault="00264E4E" w:rsidP="00EB3091">
      <w:pPr>
        <w:spacing w:after="0" w:line="240" w:lineRule="auto"/>
        <w:rPr>
          <w:rFonts w:ascii="Times New Roman" w:eastAsia="Times New Roman" w:hAnsi="Times New Roman" w:cs="Times New Roman"/>
          <w:sz w:val="18"/>
          <w:szCs w:val="18"/>
          <w:lang w:val="en-NL" w:eastAsia="en-NL"/>
        </w:rPr>
      </w:pPr>
    </w:p>
    <w:p w14:paraId="57EA971A" w14:textId="77777777" w:rsidR="00EB3091" w:rsidRPr="00EB3091" w:rsidRDefault="00EB3091" w:rsidP="00EB3091">
      <w:pPr>
        <w:spacing w:after="96" w:line="240" w:lineRule="auto"/>
        <w:outlineLvl w:val="3"/>
        <w:rPr>
          <w:rFonts w:ascii="Times New Roman" w:eastAsia="Times New Roman" w:hAnsi="Times New Roman" w:cs="Times New Roman"/>
          <w:color w:val="3A3632"/>
          <w:sz w:val="18"/>
          <w:szCs w:val="18"/>
          <w:lang w:val="en-NL" w:eastAsia="en-NL"/>
        </w:rPr>
      </w:pPr>
      <w:r w:rsidRPr="00EB3091">
        <w:rPr>
          <w:rFonts w:ascii="Times New Roman" w:eastAsia="Times New Roman" w:hAnsi="Times New Roman" w:cs="Times New Roman"/>
          <w:color w:val="3A3632"/>
          <w:sz w:val="18"/>
          <w:szCs w:val="18"/>
          <w:lang w:val="en-NL" w:eastAsia="en-NL"/>
        </w:rPr>
        <w:t>FAQ:</w:t>
      </w:r>
    </w:p>
    <w:p w14:paraId="5DB3AB24" w14:textId="77777777" w:rsidR="00EB3091" w:rsidRPr="00EB3091" w:rsidRDefault="00EB3091" w:rsidP="00EB3091">
      <w:pPr>
        <w:spacing w:after="0" w:line="240" w:lineRule="auto"/>
        <w:rPr>
          <w:rFonts w:ascii="Times New Roman" w:eastAsia="Times New Roman" w:hAnsi="Times New Roman" w:cs="Times New Roman"/>
          <w:sz w:val="18"/>
          <w:szCs w:val="18"/>
          <w:lang w:val="en-NL" w:eastAsia="en-NL"/>
        </w:rPr>
      </w:pPr>
      <w:hyperlink r:id="rId5" w:anchor="more" w:history="1">
        <w:r w:rsidRPr="00EB3091">
          <w:rPr>
            <w:rFonts w:ascii="Times New Roman" w:eastAsia="Times New Roman" w:hAnsi="Times New Roman" w:cs="Times New Roman"/>
            <w:b/>
            <w:bCs/>
            <w:color w:val="00688C"/>
            <w:sz w:val="18"/>
            <w:szCs w:val="18"/>
            <w:lang w:val="en-NL" w:eastAsia="en-NL"/>
          </w:rPr>
          <w:t>Open all</w:t>
        </w:r>
      </w:hyperlink>
    </w:p>
    <w:p w14:paraId="50B97718" w14:textId="77777777" w:rsidR="00EB3091" w:rsidRPr="00EB3091" w:rsidRDefault="00EB3091" w:rsidP="00EB3091">
      <w:pPr>
        <w:numPr>
          <w:ilvl w:val="0"/>
          <w:numId w:val="1"/>
        </w:numPr>
        <w:pBdr>
          <w:top w:val="single" w:sz="6" w:space="18" w:color="E1DDDA"/>
          <w:bottom w:val="single" w:sz="6" w:space="18" w:color="E1DDDA"/>
        </w:pBdr>
        <w:spacing w:after="0" w:line="240" w:lineRule="auto"/>
        <w:ind w:left="0"/>
        <w:outlineLvl w:val="4"/>
        <w:rPr>
          <w:rFonts w:ascii="Times New Roman" w:eastAsia="Times New Roman" w:hAnsi="Times New Roman" w:cs="Times New Roman"/>
          <w:color w:val="161513"/>
          <w:sz w:val="18"/>
          <w:szCs w:val="18"/>
          <w:lang w:val="en-NL" w:eastAsia="en-NL"/>
        </w:rPr>
      </w:pPr>
      <w:r w:rsidRPr="00EB3091">
        <w:rPr>
          <w:rFonts w:ascii="Times New Roman" w:eastAsia="Times New Roman" w:hAnsi="Times New Roman" w:cs="Times New Roman"/>
          <w:color w:val="161513"/>
          <w:sz w:val="18"/>
          <w:szCs w:val="18"/>
          <w:lang w:val="en-NL" w:eastAsia="en-NL"/>
        </w:rPr>
        <w:t>Is it possible to use Oracle Spatial and Graph and Oracle Machine Learning in Oracle Database SE2?</w:t>
      </w:r>
    </w:p>
    <w:p w14:paraId="761AA696" w14:textId="77777777" w:rsidR="00EB3091" w:rsidRPr="00EB3091" w:rsidRDefault="00EB3091" w:rsidP="00EB3091">
      <w:pPr>
        <w:pBdr>
          <w:top w:val="single" w:sz="6" w:space="18" w:color="E1DDDA"/>
          <w:bottom w:val="single" w:sz="6" w:space="18" w:color="E1DDDA"/>
        </w:pBdr>
        <w:spacing w:before="100" w:beforeAutospacing="1" w:after="100" w:afterAutospacing="1" w:line="240" w:lineRule="auto"/>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sz w:val="18"/>
          <w:szCs w:val="18"/>
          <w:lang w:val="en-NL" w:eastAsia="en-NL"/>
        </w:rPr>
        <w:t>Yes. In late 2019 Oracle announced that Oracle Spatial and Graph and Oracle Machine Learning would become part of the core offering of the Oracle Database 19c. Oracle Database SE2 users can now use all of the functionality that these previous Enterprise Edition Options only options provide.</w:t>
      </w:r>
    </w:p>
    <w:p w14:paraId="112DB4DD" w14:textId="77777777" w:rsidR="000A2D27" w:rsidRPr="000A2D27" w:rsidRDefault="000A2D27" w:rsidP="000A2D27">
      <w:pPr>
        <w:pStyle w:val="Kop5"/>
        <w:numPr>
          <w:ilvl w:val="0"/>
          <w:numId w:val="2"/>
        </w:numPr>
        <w:pBdr>
          <w:bottom w:val="single" w:sz="6" w:space="18" w:color="E1DDDA"/>
        </w:pBdr>
        <w:spacing w:before="0" w:beforeAutospacing="0" w:after="0" w:afterAutospacing="0"/>
        <w:ind w:left="0"/>
        <w:rPr>
          <w:rFonts w:ascii="Segoe UI" w:hAnsi="Segoe UI" w:cs="Segoe UI"/>
          <w:b w:val="0"/>
          <w:bCs w:val="0"/>
          <w:color w:val="161513"/>
          <w:sz w:val="18"/>
          <w:szCs w:val="18"/>
        </w:rPr>
      </w:pPr>
      <w:r w:rsidRPr="000A2D27">
        <w:rPr>
          <w:rFonts w:ascii="Segoe UI" w:hAnsi="Segoe UI" w:cs="Segoe UI"/>
          <w:b w:val="0"/>
          <w:bCs w:val="0"/>
          <w:color w:val="161513"/>
          <w:sz w:val="18"/>
          <w:szCs w:val="18"/>
        </w:rPr>
        <w:t>Can I use the Oracle Multitenant Architecture in Oracle Database SE2?</w:t>
      </w:r>
    </w:p>
    <w:p w14:paraId="21804B0B" w14:textId="77777777" w:rsidR="000A2D27" w:rsidRPr="000A2D27" w:rsidRDefault="000A2D27" w:rsidP="000A2D27">
      <w:pPr>
        <w:pStyle w:val="Normaalweb"/>
        <w:pBdr>
          <w:bottom w:val="single" w:sz="6" w:space="18" w:color="E1DDDA"/>
        </w:pBdr>
        <w:shd w:val="clear" w:color="auto" w:fill="FBF9F8"/>
        <w:rPr>
          <w:rFonts w:ascii="Segoe UI" w:hAnsi="Segoe UI" w:cs="Segoe UI"/>
          <w:color w:val="000000"/>
          <w:sz w:val="18"/>
          <w:szCs w:val="18"/>
        </w:rPr>
      </w:pPr>
      <w:r w:rsidRPr="000A2D27">
        <w:rPr>
          <w:rFonts w:ascii="Segoe UI" w:hAnsi="Segoe UI" w:cs="Segoe UI"/>
          <w:color w:val="000000"/>
          <w:sz w:val="18"/>
          <w:szCs w:val="18"/>
        </w:rPr>
        <w:t>Yes. Oracle Multitenant Architecture is Oracle's strategic architecture. We recommend all users leverage this model to benefit from the rich functionality it offers. From Oracle Database 19c onwards, users of Oracle Database Standard Edition can no longer use Oracle Real Application Clusters (RAC).</w:t>
      </w:r>
    </w:p>
    <w:p w14:paraId="51CBA6C8" w14:textId="77777777" w:rsidR="000A2D27" w:rsidRPr="000A2D27" w:rsidRDefault="000A2D27" w:rsidP="000A2D27">
      <w:pPr>
        <w:pStyle w:val="Kop5"/>
        <w:numPr>
          <w:ilvl w:val="0"/>
          <w:numId w:val="2"/>
        </w:numPr>
        <w:pBdr>
          <w:bottom w:val="single" w:sz="6" w:space="18" w:color="E1DDDA"/>
        </w:pBdr>
        <w:spacing w:before="0" w:beforeAutospacing="0" w:after="0" w:afterAutospacing="0"/>
        <w:ind w:left="0"/>
        <w:rPr>
          <w:rFonts w:ascii="Segoe UI" w:hAnsi="Segoe UI" w:cs="Segoe UI"/>
          <w:b w:val="0"/>
          <w:bCs w:val="0"/>
          <w:color w:val="161513"/>
          <w:sz w:val="18"/>
          <w:szCs w:val="18"/>
        </w:rPr>
      </w:pPr>
      <w:r w:rsidRPr="000A2D27">
        <w:rPr>
          <w:rFonts w:ascii="Segoe UI" w:hAnsi="Segoe UI" w:cs="Segoe UI"/>
          <w:b w:val="0"/>
          <w:bCs w:val="0"/>
          <w:color w:val="161513"/>
          <w:sz w:val="18"/>
          <w:szCs w:val="18"/>
        </w:rPr>
        <w:t>Can I use Oracle Real Application Clusters on Oracle Database SE2?</w:t>
      </w:r>
    </w:p>
    <w:p w14:paraId="0CCA32EE" w14:textId="77777777" w:rsidR="000A2D27" w:rsidRPr="000A2D27" w:rsidRDefault="000A2D27" w:rsidP="000A2D27">
      <w:pPr>
        <w:pStyle w:val="Normaalweb"/>
        <w:pBdr>
          <w:bottom w:val="single" w:sz="6" w:space="18" w:color="E1DDDA"/>
        </w:pBdr>
        <w:shd w:val="clear" w:color="auto" w:fill="FBF9F8"/>
        <w:rPr>
          <w:rFonts w:ascii="Segoe UI" w:hAnsi="Segoe UI" w:cs="Segoe UI"/>
          <w:color w:val="000000"/>
          <w:sz w:val="18"/>
          <w:szCs w:val="18"/>
        </w:rPr>
      </w:pPr>
      <w:r w:rsidRPr="000A2D27">
        <w:rPr>
          <w:rFonts w:ascii="Segoe UI" w:hAnsi="Segoe UI" w:cs="Segoe UI"/>
          <w:color w:val="000000"/>
          <w:sz w:val="18"/>
          <w:szCs w:val="18"/>
        </w:rPr>
        <w:t>From version 19c onwards, users of Oracle Database Standard Edition can no longer use Oracle Real Application Clusters.</w:t>
      </w:r>
    </w:p>
    <w:p w14:paraId="441099FF" w14:textId="77777777" w:rsidR="000A2D27" w:rsidRPr="000A2D27" w:rsidRDefault="000A2D27" w:rsidP="000A2D27">
      <w:pPr>
        <w:pStyle w:val="Normaalweb"/>
        <w:pBdr>
          <w:bottom w:val="single" w:sz="6" w:space="18" w:color="E1DDDA"/>
        </w:pBdr>
        <w:shd w:val="clear" w:color="auto" w:fill="FBF9F8"/>
        <w:rPr>
          <w:rFonts w:ascii="Segoe UI" w:hAnsi="Segoe UI" w:cs="Segoe UI"/>
          <w:color w:val="000000"/>
          <w:sz w:val="18"/>
          <w:szCs w:val="18"/>
        </w:rPr>
      </w:pPr>
      <w:r w:rsidRPr="000A2D27">
        <w:rPr>
          <w:rFonts w:ascii="Segoe UI" w:hAnsi="Segoe UI" w:cs="Segoe UI"/>
          <w:color w:val="000000"/>
          <w:sz w:val="18"/>
          <w:szCs w:val="18"/>
        </w:rPr>
        <w:t xml:space="preserve">However since most users of Oracle Real Application Clusters and Standard Edition used it to provide protection from failure of a server rather than for the scalability of database, Oracle is replacing it with Standard Edition High Availability. </w:t>
      </w:r>
      <w:r w:rsidRPr="000A2D27">
        <w:rPr>
          <w:rFonts w:ascii="Segoe UI" w:hAnsi="Segoe UI" w:cs="Segoe UI"/>
          <w:b/>
          <w:bCs/>
          <w:color w:val="0070C0"/>
          <w:sz w:val="18"/>
          <w:szCs w:val="18"/>
        </w:rPr>
        <w:t xml:space="preserve">This solution provides cluster-based failover for Standard Edition Oracle Databases using Oracle </w:t>
      </w:r>
      <w:proofErr w:type="spellStart"/>
      <w:r w:rsidRPr="000A2D27">
        <w:rPr>
          <w:rFonts w:ascii="Segoe UI" w:hAnsi="Segoe UI" w:cs="Segoe UI"/>
          <w:b/>
          <w:bCs/>
          <w:color w:val="0070C0"/>
          <w:sz w:val="18"/>
          <w:szCs w:val="18"/>
        </w:rPr>
        <w:t>Clusterware</w:t>
      </w:r>
      <w:proofErr w:type="spellEnd"/>
      <w:r w:rsidRPr="000A2D27">
        <w:rPr>
          <w:rFonts w:ascii="Segoe UI" w:hAnsi="Segoe UI" w:cs="Segoe UI"/>
          <w:color w:val="000000"/>
          <w:sz w:val="18"/>
          <w:szCs w:val="18"/>
        </w:rPr>
        <w:t xml:space="preserve">. </w:t>
      </w:r>
      <w:proofErr w:type="spellStart"/>
      <w:r w:rsidRPr="000A2D27">
        <w:rPr>
          <w:rFonts w:ascii="Segoe UI" w:hAnsi="Segoe UI" w:cs="Segoe UI"/>
          <w:color w:val="000000"/>
          <w:sz w:val="18"/>
          <w:szCs w:val="18"/>
        </w:rPr>
        <w:t>Oracleʼs</w:t>
      </w:r>
      <w:proofErr w:type="spellEnd"/>
      <w:r w:rsidRPr="000A2D27">
        <w:rPr>
          <w:rFonts w:ascii="Segoe UI" w:hAnsi="Segoe UI" w:cs="Segoe UI"/>
          <w:color w:val="000000"/>
          <w:sz w:val="18"/>
          <w:szCs w:val="18"/>
        </w:rPr>
        <w:t xml:space="preserve"> Oracle Database SE2 (SE2) customers thereby benefit from the high availability capabilities and storage management solutions that are already part of Oracle Grid Infrastructure, such as Oracle Automatic Storage Management (ASM) and the Oracle ASM Cluster File System (A</w:t>
      </w:r>
      <w:bookmarkStart w:id="0" w:name="_GoBack"/>
      <w:bookmarkEnd w:id="0"/>
      <w:r w:rsidRPr="000A2D27">
        <w:rPr>
          <w:rFonts w:ascii="Segoe UI" w:hAnsi="Segoe UI" w:cs="Segoe UI"/>
          <w:color w:val="000000"/>
          <w:sz w:val="18"/>
          <w:szCs w:val="18"/>
        </w:rPr>
        <w:t xml:space="preserve">CFS), </w:t>
      </w:r>
      <w:r w:rsidRPr="0097578B">
        <w:rPr>
          <w:rFonts w:ascii="Segoe UI" w:hAnsi="Segoe UI" w:cs="Segoe UI"/>
          <w:b/>
          <w:bCs/>
          <w:color w:val="0070C0"/>
          <w:sz w:val="18"/>
          <w:szCs w:val="18"/>
        </w:rPr>
        <w:t>free of charge</w:t>
      </w:r>
      <w:r w:rsidRPr="000A2D27">
        <w:rPr>
          <w:rFonts w:ascii="Segoe UI" w:hAnsi="Segoe UI" w:cs="Segoe UI"/>
          <w:color w:val="000000"/>
          <w:sz w:val="18"/>
          <w:szCs w:val="18"/>
        </w:rPr>
        <w:t>.</w:t>
      </w:r>
    </w:p>
    <w:p w14:paraId="4BF094B1" w14:textId="77777777" w:rsidR="000A2D27" w:rsidRPr="000A2D27" w:rsidRDefault="000A2D27" w:rsidP="000A2D27">
      <w:pPr>
        <w:pStyle w:val="Kop5"/>
        <w:numPr>
          <w:ilvl w:val="0"/>
          <w:numId w:val="2"/>
        </w:numPr>
        <w:pBdr>
          <w:bottom w:val="single" w:sz="6" w:space="18" w:color="E1DDDA"/>
        </w:pBdr>
        <w:spacing w:before="0" w:beforeAutospacing="0" w:after="0" w:afterAutospacing="0"/>
        <w:ind w:left="0"/>
        <w:rPr>
          <w:rFonts w:ascii="Segoe UI" w:hAnsi="Segoe UI" w:cs="Segoe UI"/>
          <w:b w:val="0"/>
          <w:bCs w:val="0"/>
          <w:color w:val="161513"/>
          <w:sz w:val="18"/>
          <w:szCs w:val="18"/>
        </w:rPr>
      </w:pPr>
      <w:r w:rsidRPr="000A2D27">
        <w:rPr>
          <w:rFonts w:ascii="Segoe UI" w:hAnsi="Segoe UI" w:cs="Segoe UI"/>
          <w:b w:val="0"/>
          <w:bCs w:val="0"/>
          <w:color w:val="161513"/>
          <w:sz w:val="18"/>
          <w:szCs w:val="18"/>
        </w:rPr>
        <w:lastRenderedPageBreak/>
        <w:t xml:space="preserve">What does this mean if </w:t>
      </w:r>
      <w:proofErr w:type="spellStart"/>
      <w:r w:rsidRPr="000A2D27">
        <w:rPr>
          <w:rFonts w:ascii="Segoe UI" w:hAnsi="Segoe UI" w:cs="Segoe UI"/>
          <w:b w:val="0"/>
          <w:bCs w:val="0"/>
          <w:color w:val="161513"/>
          <w:sz w:val="18"/>
          <w:szCs w:val="18"/>
        </w:rPr>
        <w:t>Iʼm</w:t>
      </w:r>
      <w:proofErr w:type="spellEnd"/>
      <w:r w:rsidRPr="000A2D27">
        <w:rPr>
          <w:rFonts w:ascii="Segoe UI" w:hAnsi="Segoe UI" w:cs="Segoe UI"/>
          <w:b w:val="0"/>
          <w:bCs w:val="0"/>
          <w:color w:val="161513"/>
          <w:sz w:val="18"/>
          <w:szCs w:val="18"/>
        </w:rPr>
        <w:t xml:space="preserve"> currently licensed to use Oracle Database Standard Edition (SE) or Oracle Database Standard Edition One (SE1)?</w:t>
      </w:r>
    </w:p>
    <w:p w14:paraId="678527F6" w14:textId="77777777" w:rsidR="000A2D27" w:rsidRPr="000A2D27" w:rsidRDefault="000A2D27" w:rsidP="000A2D27">
      <w:pPr>
        <w:pStyle w:val="Normaalweb"/>
        <w:pBdr>
          <w:bottom w:val="single" w:sz="6" w:space="18" w:color="E1DDDA"/>
        </w:pBdr>
        <w:shd w:val="clear" w:color="auto" w:fill="FBF9F8"/>
        <w:spacing w:before="0" w:after="0"/>
        <w:rPr>
          <w:rFonts w:ascii="Segoe UI" w:hAnsi="Segoe UI" w:cs="Segoe UI"/>
          <w:color w:val="000000"/>
          <w:sz w:val="18"/>
          <w:szCs w:val="18"/>
        </w:rPr>
      </w:pPr>
      <w:r w:rsidRPr="000A2D27">
        <w:rPr>
          <w:rStyle w:val="Nadruk"/>
          <w:rFonts w:ascii="Segoe UI" w:hAnsi="Segoe UI" w:cs="Segoe UI"/>
          <w:color w:val="000000"/>
          <w:sz w:val="18"/>
          <w:szCs w:val="18"/>
        </w:rPr>
        <w:t>Investment Protection</w:t>
      </w:r>
      <w:r w:rsidRPr="000A2D27">
        <w:rPr>
          <w:rFonts w:ascii="Segoe UI" w:hAnsi="Segoe UI" w:cs="Segoe UI"/>
          <w:color w:val="000000"/>
          <w:sz w:val="18"/>
          <w:szCs w:val="18"/>
        </w:rPr>
        <w:t> : You can choose to stay with SE or SE1, and Oracle will continue to offer support as per our support policies as follows:</w:t>
      </w:r>
    </w:p>
    <w:p w14:paraId="7A5AE427" w14:textId="77777777" w:rsidR="000A2D27" w:rsidRPr="000A2D27" w:rsidRDefault="000A2D27" w:rsidP="000A2D27">
      <w:pPr>
        <w:pStyle w:val="cb105open"/>
        <w:numPr>
          <w:ilvl w:val="1"/>
          <w:numId w:val="2"/>
        </w:numPr>
        <w:pBdr>
          <w:bottom w:val="single" w:sz="6" w:space="18" w:color="E1DDDA"/>
        </w:pBdr>
        <w:shd w:val="clear" w:color="auto" w:fill="FBF9F8"/>
        <w:spacing w:before="0" w:beforeAutospacing="0" w:after="336" w:afterAutospacing="0"/>
        <w:ind w:left="0" w:right="240"/>
        <w:rPr>
          <w:rFonts w:ascii="Segoe UI" w:hAnsi="Segoe UI" w:cs="Segoe UI"/>
          <w:color w:val="000000"/>
          <w:sz w:val="18"/>
          <w:szCs w:val="18"/>
        </w:rPr>
      </w:pPr>
      <w:r w:rsidRPr="000A2D27">
        <w:rPr>
          <w:rFonts w:ascii="Segoe UI" w:hAnsi="Segoe UI" w:cs="Segoe UI"/>
          <w:color w:val="000000"/>
          <w:sz w:val="18"/>
          <w:szCs w:val="18"/>
        </w:rPr>
        <w:t>SE1 and SE for 11.2.0.4 are in extended support, which includes patching, through the end of DEC2020. Extended Support fees are waived from Jan-2015 to 31-May-2017</w:t>
      </w:r>
    </w:p>
    <w:p w14:paraId="0BEF9991" w14:textId="77777777" w:rsidR="000A2D27" w:rsidRPr="000A2D27" w:rsidRDefault="000A2D27" w:rsidP="000A2D27">
      <w:pPr>
        <w:pStyle w:val="cb105open"/>
        <w:numPr>
          <w:ilvl w:val="1"/>
          <w:numId w:val="2"/>
        </w:numPr>
        <w:pBdr>
          <w:bottom w:val="single" w:sz="6" w:space="18" w:color="E1DDDA"/>
        </w:pBdr>
        <w:shd w:val="clear" w:color="auto" w:fill="FBF9F8"/>
        <w:spacing w:before="0" w:beforeAutospacing="0" w:after="336" w:afterAutospacing="0"/>
        <w:ind w:left="0" w:right="240"/>
        <w:rPr>
          <w:rFonts w:ascii="Segoe UI" w:hAnsi="Segoe UI" w:cs="Segoe UI"/>
          <w:color w:val="000000"/>
          <w:sz w:val="18"/>
          <w:szCs w:val="18"/>
        </w:rPr>
      </w:pPr>
      <w:r w:rsidRPr="000A2D27">
        <w:rPr>
          <w:rFonts w:ascii="Segoe UI" w:hAnsi="Segoe UI" w:cs="Segoe UI"/>
          <w:color w:val="000000"/>
          <w:sz w:val="18"/>
          <w:szCs w:val="18"/>
        </w:rPr>
        <w:t>SE1 and SE for 12.1.0.1 are in premier support, which includes patching, through the end of AUG2016. Sustaining support is then available indefinitely. Zero-Cost License Migration from SE: SE customers can choose to upgrade to Oracle Database SE2 without incurring any additional license cost.</w:t>
      </w:r>
    </w:p>
    <w:p w14:paraId="01E30AA6" w14:textId="77777777" w:rsidR="000A2D27" w:rsidRPr="000A2D27" w:rsidRDefault="000A2D27" w:rsidP="000A2D27">
      <w:pPr>
        <w:pStyle w:val="Normaalweb"/>
        <w:pBdr>
          <w:bottom w:val="single" w:sz="6" w:space="18" w:color="E1DDDA"/>
        </w:pBdr>
        <w:shd w:val="clear" w:color="auto" w:fill="FBF9F8"/>
        <w:spacing w:before="0" w:after="0"/>
        <w:rPr>
          <w:rFonts w:ascii="Segoe UI" w:hAnsi="Segoe UI" w:cs="Segoe UI"/>
          <w:color w:val="000000"/>
          <w:sz w:val="18"/>
          <w:szCs w:val="18"/>
        </w:rPr>
      </w:pPr>
      <w:r w:rsidRPr="000A2D27">
        <w:rPr>
          <w:rStyle w:val="Nadruk"/>
          <w:rFonts w:ascii="Segoe UI" w:hAnsi="Segoe UI" w:cs="Segoe UI"/>
          <w:color w:val="000000"/>
          <w:sz w:val="18"/>
          <w:szCs w:val="18"/>
        </w:rPr>
        <w:t>License migration from SE1</w:t>
      </w:r>
      <w:r w:rsidRPr="000A2D27">
        <w:rPr>
          <w:rFonts w:ascii="Segoe UI" w:hAnsi="Segoe UI" w:cs="Segoe UI"/>
          <w:color w:val="000000"/>
          <w:sz w:val="18"/>
          <w:szCs w:val="18"/>
        </w:rPr>
        <w:t>: With a minor support cost uplift, which averages to about $500 per socket across all SE1 customers, SE1 customers gain access to enterprise capabilities including RAC for high availability and new features such as a container database architecture that makes it easy to migrate to the cloud, and JSON support that enable big data analysis and provide an enterprise class document store. Refer to the Database Licensing Information for more details about the features included in this edition.</w:t>
      </w:r>
    </w:p>
    <w:p w14:paraId="75E9CE4F" w14:textId="77777777" w:rsidR="000A2D27" w:rsidRPr="000A2D27" w:rsidRDefault="000A2D27" w:rsidP="000A2D27">
      <w:pPr>
        <w:pStyle w:val="Kop5"/>
        <w:numPr>
          <w:ilvl w:val="0"/>
          <w:numId w:val="2"/>
        </w:numPr>
        <w:pBdr>
          <w:bottom w:val="single" w:sz="6" w:space="18" w:color="E1DDDA"/>
        </w:pBdr>
        <w:spacing w:before="0" w:beforeAutospacing="0" w:after="0" w:afterAutospacing="0"/>
        <w:ind w:left="0"/>
        <w:rPr>
          <w:rFonts w:ascii="Segoe UI" w:hAnsi="Segoe UI" w:cs="Segoe UI"/>
          <w:b w:val="0"/>
          <w:bCs w:val="0"/>
          <w:color w:val="161513"/>
          <w:sz w:val="18"/>
          <w:szCs w:val="18"/>
        </w:rPr>
      </w:pPr>
      <w:r w:rsidRPr="000A2D27">
        <w:rPr>
          <w:rFonts w:ascii="Segoe UI" w:hAnsi="Segoe UI" w:cs="Segoe UI"/>
          <w:b w:val="0"/>
          <w:bCs w:val="0"/>
          <w:color w:val="161513"/>
          <w:sz w:val="18"/>
          <w:szCs w:val="18"/>
        </w:rPr>
        <w:t>Can I use the Oracle Multitenant Architecture in Oracle Database SE2?</w:t>
      </w:r>
    </w:p>
    <w:p w14:paraId="259CAACE" w14:textId="77777777" w:rsidR="000A2D27" w:rsidRPr="000A2D27" w:rsidRDefault="000A2D27" w:rsidP="000A2D27">
      <w:pPr>
        <w:pStyle w:val="Normaalweb"/>
        <w:pBdr>
          <w:bottom w:val="single" w:sz="6" w:space="18" w:color="E1DDDA"/>
        </w:pBdr>
        <w:shd w:val="clear" w:color="auto" w:fill="FBF9F8"/>
        <w:rPr>
          <w:rFonts w:ascii="Segoe UI" w:hAnsi="Segoe UI" w:cs="Segoe UI"/>
          <w:color w:val="000000"/>
          <w:sz w:val="18"/>
          <w:szCs w:val="18"/>
        </w:rPr>
      </w:pPr>
      <w:r w:rsidRPr="000A2D27">
        <w:rPr>
          <w:rFonts w:ascii="Segoe UI" w:hAnsi="Segoe UI" w:cs="Segoe UI"/>
          <w:color w:val="000000"/>
          <w:sz w:val="18"/>
          <w:szCs w:val="18"/>
        </w:rPr>
        <w:t>Yes. Oracle Multitenant Architecture is Oracle's strategic architecture. We recommend all users leverage this model to benefit from the rich functionality it offers. From Oracle Database 19c onwards, users of Oracle Database Standard Edition can no longer use Oracle Real Application Clusters (RAC).</w:t>
      </w:r>
    </w:p>
    <w:p w14:paraId="06516F4A" w14:textId="77777777" w:rsidR="000A2D27" w:rsidRPr="000A2D27" w:rsidRDefault="000A2D27" w:rsidP="000A2D27">
      <w:pPr>
        <w:pStyle w:val="Kop5"/>
        <w:numPr>
          <w:ilvl w:val="0"/>
          <w:numId w:val="2"/>
        </w:numPr>
        <w:pBdr>
          <w:bottom w:val="single" w:sz="6" w:space="18" w:color="E1DDDA"/>
        </w:pBdr>
        <w:spacing w:before="0" w:beforeAutospacing="0" w:after="0" w:afterAutospacing="0"/>
        <w:ind w:left="0"/>
        <w:rPr>
          <w:rFonts w:ascii="Segoe UI" w:hAnsi="Segoe UI" w:cs="Segoe UI"/>
          <w:b w:val="0"/>
          <w:bCs w:val="0"/>
          <w:color w:val="161513"/>
          <w:sz w:val="18"/>
          <w:szCs w:val="18"/>
        </w:rPr>
      </w:pPr>
      <w:r w:rsidRPr="000A2D27">
        <w:rPr>
          <w:rFonts w:ascii="Segoe UI" w:hAnsi="Segoe UI" w:cs="Segoe UI"/>
          <w:b w:val="0"/>
          <w:bCs w:val="0"/>
          <w:color w:val="161513"/>
          <w:sz w:val="18"/>
          <w:szCs w:val="18"/>
        </w:rPr>
        <w:t>Can I use Oracle Real Application Clusters on Oracle Database SE2?</w:t>
      </w:r>
    </w:p>
    <w:p w14:paraId="7D27242C" w14:textId="77777777" w:rsidR="000A2D27" w:rsidRPr="000A2D27" w:rsidRDefault="000A2D27" w:rsidP="000A2D27">
      <w:pPr>
        <w:pStyle w:val="Normaalweb"/>
        <w:pBdr>
          <w:bottom w:val="single" w:sz="6" w:space="18" w:color="E1DDDA"/>
        </w:pBdr>
        <w:shd w:val="clear" w:color="auto" w:fill="FBF9F8"/>
        <w:rPr>
          <w:rFonts w:ascii="Segoe UI" w:hAnsi="Segoe UI" w:cs="Segoe UI"/>
          <w:color w:val="000000"/>
          <w:sz w:val="18"/>
          <w:szCs w:val="18"/>
        </w:rPr>
      </w:pPr>
      <w:r w:rsidRPr="000A2D27">
        <w:rPr>
          <w:rFonts w:ascii="Segoe UI" w:hAnsi="Segoe UI" w:cs="Segoe UI"/>
          <w:color w:val="000000"/>
          <w:sz w:val="18"/>
          <w:szCs w:val="18"/>
        </w:rPr>
        <w:t>From version 19c onwards, users of Oracle Database Standard Edition can no longer use Oracle Real Application Clusters.</w:t>
      </w:r>
    </w:p>
    <w:p w14:paraId="61A3B853" w14:textId="77777777" w:rsidR="000A2D27" w:rsidRPr="000A2D27" w:rsidRDefault="000A2D27" w:rsidP="000A2D27">
      <w:pPr>
        <w:pStyle w:val="Normaalweb"/>
        <w:pBdr>
          <w:bottom w:val="single" w:sz="6" w:space="18" w:color="E1DDDA"/>
        </w:pBdr>
        <w:shd w:val="clear" w:color="auto" w:fill="FBF9F8"/>
        <w:rPr>
          <w:rFonts w:ascii="Segoe UI" w:hAnsi="Segoe UI" w:cs="Segoe UI"/>
          <w:color w:val="000000"/>
          <w:sz w:val="18"/>
          <w:szCs w:val="18"/>
        </w:rPr>
      </w:pPr>
      <w:r w:rsidRPr="000A2D27">
        <w:rPr>
          <w:rFonts w:ascii="Segoe UI" w:hAnsi="Segoe UI" w:cs="Segoe UI"/>
          <w:color w:val="000000"/>
          <w:sz w:val="18"/>
          <w:szCs w:val="18"/>
        </w:rPr>
        <w:t xml:space="preserve">However since most users of Oracle Real Application Clusters and Standard Edition used it to provide protection from failure of a server rather than for the scalability of database, Oracle is replacing it with Standard Edition High Availability. This solution provides cluster-based failover for Standard Edition Oracle Databases using Oracle </w:t>
      </w:r>
      <w:proofErr w:type="spellStart"/>
      <w:r w:rsidRPr="000A2D27">
        <w:rPr>
          <w:rFonts w:ascii="Segoe UI" w:hAnsi="Segoe UI" w:cs="Segoe UI"/>
          <w:color w:val="000000"/>
          <w:sz w:val="18"/>
          <w:szCs w:val="18"/>
        </w:rPr>
        <w:t>Clusterware</w:t>
      </w:r>
      <w:proofErr w:type="spellEnd"/>
      <w:r w:rsidRPr="000A2D27">
        <w:rPr>
          <w:rFonts w:ascii="Segoe UI" w:hAnsi="Segoe UI" w:cs="Segoe UI"/>
          <w:color w:val="000000"/>
          <w:sz w:val="18"/>
          <w:szCs w:val="18"/>
        </w:rPr>
        <w:t xml:space="preserve">. </w:t>
      </w:r>
      <w:proofErr w:type="spellStart"/>
      <w:r w:rsidRPr="000A2D27">
        <w:rPr>
          <w:rFonts w:ascii="Segoe UI" w:hAnsi="Segoe UI" w:cs="Segoe UI"/>
          <w:color w:val="000000"/>
          <w:sz w:val="18"/>
          <w:szCs w:val="18"/>
        </w:rPr>
        <w:t>Oracleʼs</w:t>
      </w:r>
      <w:proofErr w:type="spellEnd"/>
      <w:r w:rsidRPr="000A2D27">
        <w:rPr>
          <w:rFonts w:ascii="Segoe UI" w:hAnsi="Segoe UI" w:cs="Segoe UI"/>
          <w:color w:val="000000"/>
          <w:sz w:val="18"/>
          <w:szCs w:val="18"/>
        </w:rPr>
        <w:t xml:space="preserve"> Oracle Database SE2 (SE2) customers thereby benefit from the high availability capabilities and storage management solutions that are already part of Oracle Grid Infrastructure, such as Oracle Automatic Storage Management (ASM) and the Oracle ASM Cluster File System (ACFS), free of charge.</w:t>
      </w:r>
    </w:p>
    <w:p w14:paraId="60E32A3B" w14:textId="77777777" w:rsidR="000A2D27" w:rsidRPr="000A2D27" w:rsidRDefault="000A2D27" w:rsidP="000A2D27">
      <w:pPr>
        <w:pStyle w:val="Kop5"/>
        <w:numPr>
          <w:ilvl w:val="0"/>
          <w:numId w:val="2"/>
        </w:numPr>
        <w:pBdr>
          <w:bottom w:val="single" w:sz="6" w:space="18" w:color="E1DDDA"/>
        </w:pBdr>
        <w:spacing w:before="0" w:beforeAutospacing="0" w:after="0" w:afterAutospacing="0"/>
        <w:ind w:left="0"/>
        <w:rPr>
          <w:rFonts w:ascii="Segoe UI" w:hAnsi="Segoe UI" w:cs="Segoe UI"/>
          <w:b w:val="0"/>
          <w:bCs w:val="0"/>
          <w:color w:val="161513"/>
          <w:sz w:val="18"/>
          <w:szCs w:val="18"/>
        </w:rPr>
      </w:pPr>
      <w:r w:rsidRPr="000A2D27">
        <w:rPr>
          <w:rFonts w:ascii="Segoe UI" w:hAnsi="Segoe UI" w:cs="Segoe UI"/>
          <w:b w:val="0"/>
          <w:bCs w:val="0"/>
          <w:color w:val="161513"/>
          <w:sz w:val="18"/>
          <w:szCs w:val="18"/>
        </w:rPr>
        <w:lastRenderedPageBreak/>
        <w:t xml:space="preserve">What does this mean if </w:t>
      </w:r>
      <w:proofErr w:type="spellStart"/>
      <w:r w:rsidRPr="000A2D27">
        <w:rPr>
          <w:rFonts w:ascii="Segoe UI" w:hAnsi="Segoe UI" w:cs="Segoe UI"/>
          <w:b w:val="0"/>
          <w:bCs w:val="0"/>
          <w:color w:val="161513"/>
          <w:sz w:val="18"/>
          <w:szCs w:val="18"/>
        </w:rPr>
        <w:t>Iʼm</w:t>
      </w:r>
      <w:proofErr w:type="spellEnd"/>
      <w:r w:rsidRPr="000A2D27">
        <w:rPr>
          <w:rFonts w:ascii="Segoe UI" w:hAnsi="Segoe UI" w:cs="Segoe UI"/>
          <w:b w:val="0"/>
          <w:bCs w:val="0"/>
          <w:color w:val="161513"/>
          <w:sz w:val="18"/>
          <w:szCs w:val="18"/>
        </w:rPr>
        <w:t xml:space="preserve"> currently licensed to use Oracle Database Standard Edition (SE) or Oracle Database Standard Edition One (SE1)?</w:t>
      </w:r>
    </w:p>
    <w:p w14:paraId="05D810B9" w14:textId="77777777" w:rsidR="000A2D27" w:rsidRPr="000A2D27" w:rsidRDefault="000A2D27" w:rsidP="000A2D27">
      <w:pPr>
        <w:pStyle w:val="Normaalweb"/>
        <w:pBdr>
          <w:bottom w:val="single" w:sz="6" w:space="18" w:color="E1DDDA"/>
        </w:pBdr>
        <w:shd w:val="clear" w:color="auto" w:fill="FBF9F8"/>
        <w:spacing w:before="0" w:after="0"/>
        <w:rPr>
          <w:rFonts w:ascii="Segoe UI" w:hAnsi="Segoe UI" w:cs="Segoe UI"/>
          <w:color w:val="000000"/>
          <w:sz w:val="18"/>
          <w:szCs w:val="18"/>
        </w:rPr>
      </w:pPr>
      <w:r w:rsidRPr="000A2D27">
        <w:rPr>
          <w:rStyle w:val="Nadruk"/>
          <w:rFonts w:ascii="Segoe UI" w:hAnsi="Segoe UI" w:cs="Segoe UI"/>
          <w:color w:val="000000"/>
          <w:sz w:val="18"/>
          <w:szCs w:val="18"/>
        </w:rPr>
        <w:t>Investment Protection</w:t>
      </w:r>
      <w:r w:rsidRPr="000A2D27">
        <w:rPr>
          <w:rFonts w:ascii="Segoe UI" w:hAnsi="Segoe UI" w:cs="Segoe UI"/>
          <w:color w:val="000000"/>
          <w:sz w:val="18"/>
          <w:szCs w:val="18"/>
        </w:rPr>
        <w:t> : You can choose to stay with SE or SE1, and Oracle will continue to offer support as per our support policies as follows:</w:t>
      </w:r>
    </w:p>
    <w:p w14:paraId="4D064347" w14:textId="77777777" w:rsidR="000A2D27" w:rsidRPr="000A2D27" w:rsidRDefault="000A2D27" w:rsidP="000A2D27">
      <w:pPr>
        <w:pStyle w:val="cb105open"/>
        <w:numPr>
          <w:ilvl w:val="1"/>
          <w:numId w:val="2"/>
        </w:numPr>
        <w:pBdr>
          <w:bottom w:val="single" w:sz="6" w:space="18" w:color="E1DDDA"/>
        </w:pBdr>
        <w:shd w:val="clear" w:color="auto" w:fill="FBF9F8"/>
        <w:spacing w:before="0" w:beforeAutospacing="0" w:after="336" w:afterAutospacing="0"/>
        <w:ind w:left="0" w:right="240"/>
        <w:rPr>
          <w:rFonts w:ascii="Segoe UI" w:hAnsi="Segoe UI" w:cs="Segoe UI"/>
          <w:color w:val="000000"/>
          <w:sz w:val="18"/>
          <w:szCs w:val="18"/>
        </w:rPr>
      </w:pPr>
      <w:r w:rsidRPr="000A2D27">
        <w:rPr>
          <w:rFonts w:ascii="Segoe UI" w:hAnsi="Segoe UI" w:cs="Segoe UI"/>
          <w:color w:val="000000"/>
          <w:sz w:val="18"/>
          <w:szCs w:val="18"/>
        </w:rPr>
        <w:t>SE1 and SE for 11.2.0.4 are in extended support, which includes patching, through the end of DEC2020. Extended Support fees are waived from Jan-2015 to 31-May-2017</w:t>
      </w:r>
    </w:p>
    <w:p w14:paraId="044FCBDF" w14:textId="77777777" w:rsidR="000A2D27" w:rsidRPr="000A2D27" w:rsidRDefault="000A2D27" w:rsidP="000A2D27">
      <w:pPr>
        <w:pStyle w:val="cb105open"/>
        <w:numPr>
          <w:ilvl w:val="1"/>
          <w:numId w:val="2"/>
        </w:numPr>
        <w:pBdr>
          <w:bottom w:val="single" w:sz="6" w:space="18" w:color="E1DDDA"/>
        </w:pBdr>
        <w:shd w:val="clear" w:color="auto" w:fill="FBF9F8"/>
        <w:spacing w:before="0" w:beforeAutospacing="0" w:after="336" w:afterAutospacing="0"/>
        <w:ind w:left="0" w:right="240"/>
        <w:rPr>
          <w:rFonts w:ascii="Segoe UI" w:hAnsi="Segoe UI" w:cs="Segoe UI"/>
          <w:color w:val="000000"/>
          <w:sz w:val="18"/>
          <w:szCs w:val="18"/>
        </w:rPr>
      </w:pPr>
      <w:r w:rsidRPr="000A2D27">
        <w:rPr>
          <w:rFonts w:ascii="Segoe UI" w:hAnsi="Segoe UI" w:cs="Segoe UI"/>
          <w:color w:val="000000"/>
          <w:sz w:val="18"/>
          <w:szCs w:val="18"/>
        </w:rPr>
        <w:t>SE1 and SE for 12.1.0.1 are in premier support, which includes patching, through the end of AUG2016. Sustaining support is then available indefinitely. Zero-Cost License Migration from SE: SE customers can choose to upgrade to Oracle Database SE2 without incurring any additional license cost.</w:t>
      </w:r>
    </w:p>
    <w:p w14:paraId="044CCBA9" w14:textId="77777777" w:rsidR="000A2D27" w:rsidRPr="000A2D27" w:rsidRDefault="000A2D27" w:rsidP="000A2D27">
      <w:pPr>
        <w:pStyle w:val="Normaalweb"/>
        <w:pBdr>
          <w:bottom w:val="single" w:sz="6" w:space="18" w:color="E1DDDA"/>
        </w:pBdr>
        <w:shd w:val="clear" w:color="auto" w:fill="FBF9F8"/>
        <w:spacing w:before="0" w:after="0"/>
        <w:rPr>
          <w:rFonts w:ascii="Segoe UI" w:hAnsi="Segoe UI" w:cs="Segoe UI"/>
          <w:color w:val="000000"/>
          <w:sz w:val="18"/>
          <w:szCs w:val="18"/>
        </w:rPr>
      </w:pPr>
      <w:r w:rsidRPr="000A2D27">
        <w:rPr>
          <w:rStyle w:val="Nadruk"/>
          <w:rFonts w:ascii="Segoe UI" w:hAnsi="Segoe UI" w:cs="Segoe UI"/>
          <w:color w:val="000000"/>
          <w:sz w:val="18"/>
          <w:szCs w:val="18"/>
        </w:rPr>
        <w:t>License migration from SE1</w:t>
      </w:r>
      <w:r w:rsidRPr="000A2D27">
        <w:rPr>
          <w:rFonts w:ascii="Segoe UI" w:hAnsi="Segoe UI" w:cs="Segoe UI"/>
          <w:color w:val="000000"/>
          <w:sz w:val="18"/>
          <w:szCs w:val="18"/>
        </w:rPr>
        <w:t>: With a minor support cost uplift, which averages to about $500 per socket across all SE1 customers, SE1 customers gain access to enterprise capabilities including RAC for high availability and new features such as a container database architecture that makes it easy to migrate to the cloud, and JSON support that enable big data analysis and provide an enterprise class document store. Refer to the Database Licensing Information for more details about the features included in this edition.</w:t>
      </w:r>
    </w:p>
    <w:p w14:paraId="2F2B95F7" w14:textId="77777777" w:rsidR="00EB3091" w:rsidRPr="00EB3091" w:rsidRDefault="00EB3091" w:rsidP="000A2D27">
      <w:pPr>
        <w:pBdr>
          <w:bottom w:val="single" w:sz="6" w:space="18" w:color="E1DDDA"/>
        </w:pBdr>
        <w:spacing w:beforeAutospacing="1" w:after="0" w:afterAutospacing="1" w:line="240" w:lineRule="auto"/>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i/>
          <w:iCs/>
          <w:sz w:val="18"/>
          <w:szCs w:val="18"/>
          <w:lang w:val="en-NL" w:eastAsia="en-NL"/>
        </w:rPr>
        <w:t>Investment Protection</w:t>
      </w:r>
      <w:r w:rsidRPr="00EB3091">
        <w:rPr>
          <w:rFonts w:ascii="Times New Roman" w:eastAsia="Times New Roman" w:hAnsi="Times New Roman" w:cs="Times New Roman"/>
          <w:sz w:val="18"/>
          <w:szCs w:val="18"/>
          <w:lang w:val="en-NL" w:eastAsia="en-NL"/>
        </w:rPr>
        <w:t> : You can choose to stay with SE or SE1, and Oracle will continue to offer support as per our support policies as follows:</w:t>
      </w:r>
    </w:p>
    <w:p w14:paraId="3624F20F" w14:textId="77777777" w:rsidR="00EB3091" w:rsidRPr="00EB3091" w:rsidRDefault="00EB3091" w:rsidP="00EB3091">
      <w:pPr>
        <w:numPr>
          <w:ilvl w:val="1"/>
          <w:numId w:val="1"/>
        </w:numPr>
        <w:pBdr>
          <w:bottom w:val="single" w:sz="6" w:space="18" w:color="E1DDDA"/>
        </w:pBdr>
        <w:spacing w:after="336" w:line="240" w:lineRule="auto"/>
        <w:ind w:left="0" w:right="240"/>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sz w:val="18"/>
          <w:szCs w:val="18"/>
          <w:lang w:val="en-NL" w:eastAsia="en-NL"/>
        </w:rPr>
        <w:t>SE1 and SE for 11.2.0.4 are in extended support, which includes patching, through the end of DEC2020. Extended Support fees are waived from Jan-2015 to 31-May-2017</w:t>
      </w:r>
    </w:p>
    <w:p w14:paraId="4266EE4F" w14:textId="77777777" w:rsidR="00EB3091" w:rsidRPr="00EB3091" w:rsidRDefault="00EB3091" w:rsidP="00EB3091">
      <w:pPr>
        <w:numPr>
          <w:ilvl w:val="1"/>
          <w:numId w:val="1"/>
        </w:numPr>
        <w:pBdr>
          <w:bottom w:val="single" w:sz="6" w:space="18" w:color="E1DDDA"/>
        </w:pBdr>
        <w:spacing w:after="336" w:line="240" w:lineRule="auto"/>
        <w:ind w:left="0" w:right="240"/>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sz w:val="18"/>
          <w:szCs w:val="18"/>
          <w:lang w:val="en-NL" w:eastAsia="en-NL"/>
        </w:rPr>
        <w:t>SE1 and SE for 12.1.0.1 are in premier support, which includes patching, through the end of AUG2016. Sustaining support is then available indefinitely. Zero-Cost License Migration from SE: SE customers can choose to upgrade to Oracle Database SE2 without incurring any additional license cost.</w:t>
      </w:r>
    </w:p>
    <w:p w14:paraId="01D123C5" w14:textId="77777777" w:rsidR="00EB3091" w:rsidRPr="00EB3091" w:rsidRDefault="00EB3091" w:rsidP="00EB3091">
      <w:pPr>
        <w:pBdr>
          <w:bottom w:val="single" w:sz="6" w:space="18" w:color="E1DDDA"/>
        </w:pBdr>
        <w:spacing w:beforeAutospacing="1" w:after="0" w:afterAutospacing="1" w:line="240" w:lineRule="auto"/>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i/>
          <w:iCs/>
          <w:sz w:val="18"/>
          <w:szCs w:val="18"/>
          <w:lang w:val="en-NL" w:eastAsia="en-NL"/>
        </w:rPr>
        <w:t>License migration from SE1</w:t>
      </w:r>
      <w:r w:rsidRPr="00EB3091">
        <w:rPr>
          <w:rFonts w:ascii="Times New Roman" w:eastAsia="Times New Roman" w:hAnsi="Times New Roman" w:cs="Times New Roman"/>
          <w:sz w:val="18"/>
          <w:szCs w:val="18"/>
          <w:lang w:val="en-NL" w:eastAsia="en-NL"/>
        </w:rPr>
        <w:t>: With a minor support cost uplift, which averages to about $500 per socket across all SE1 customers, SE1 customers gain access to enterprise capabilities including RAC for high availability and new features such as a container database architecture that makes it easy to migrate to the cloud, and JSON support that enable big data analysis and provide an enterprise class document store. Refer to the Database Licensing Information for more details about the features included in this edition.</w:t>
      </w:r>
    </w:p>
    <w:p w14:paraId="4F55F297" w14:textId="77777777" w:rsidR="00EB3091" w:rsidRPr="00EB3091" w:rsidRDefault="00EB3091" w:rsidP="00EB3091">
      <w:pPr>
        <w:numPr>
          <w:ilvl w:val="0"/>
          <w:numId w:val="1"/>
        </w:numPr>
        <w:pBdr>
          <w:bottom w:val="single" w:sz="6" w:space="18" w:color="E1DDDA"/>
        </w:pBdr>
        <w:spacing w:after="0" w:line="240" w:lineRule="auto"/>
        <w:ind w:left="0"/>
        <w:outlineLvl w:val="4"/>
        <w:rPr>
          <w:rFonts w:ascii="Times New Roman" w:eastAsia="Times New Roman" w:hAnsi="Times New Roman" w:cs="Times New Roman"/>
          <w:color w:val="161513"/>
          <w:sz w:val="18"/>
          <w:szCs w:val="18"/>
          <w:lang w:val="en-NL" w:eastAsia="en-NL"/>
        </w:rPr>
      </w:pPr>
      <w:r w:rsidRPr="00EB3091">
        <w:rPr>
          <w:rFonts w:ascii="Times New Roman" w:eastAsia="Times New Roman" w:hAnsi="Times New Roman" w:cs="Times New Roman"/>
          <w:color w:val="161513"/>
          <w:sz w:val="18"/>
          <w:szCs w:val="18"/>
          <w:lang w:val="en-NL" w:eastAsia="en-NL"/>
        </w:rPr>
        <w:t>What is the impact of Oracle Database SE2 supporting only 2 sockets rather than 4 with Oracle Database SE?</w:t>
      </w:r>
    </w:p>
    <w:p w14:paraId="2F486346" w14:textId="77777777" w:rsidR="00EB3091" w:rsidRPr="00EB3091" w:rsidRDefault="00EB3091" w:rsidP="00EB3091">
      <w:pPr>
        <w:pBdr>
          <w:bottom w:val="single" w:sz="6" w:space="18" w:color="E1DDDA"/>
        </w:pBdr>
        <w:spacing w:before="100" w:beforeAutospacing="1" w:after="100" w:afterAutospacing="1" w:line="240" w:lineRule="auto"/>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sz w:val="18"/>
          <w:szCs w:val="18"/>
          <w:lang w:val="en-NL" w:eastAsia="en-NL"/>
        </w:rPr>
        <w:t>A small percentage of the install base uses Oracle Database Standard Edition with 4 socket systems. The most common configuration is 2-socket. For the small percent of customers that do run SE on 4 sockets systems, the following options are available:</w:t>
      </w:r>
    </w:p>
    <w:p w14:paraId="07154BCD" w14:textId="77777777" w:rsidR="00EB3091" w:rsidRPr="00EB3091" w:rsidRDefault="00EB3091" w:rsidP="00EB3091">
      <w:pPr>
        <w:numPr>
          <w:ilvl w:val="1"/>
          <w:numId w:val="1"/>
        </w:numPr>
        <w:pBdr>
          <w:bottom w:val="single" w:sz="6" w:space="18" w:color="E1DDDA"/>
        </w:pBdr>
        <w:spacing w:after="336" w:line="240" w:lineRule="auto"/>
        <w:ind w:left="0" w:right="240"/>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sz w:val="18"/>
          <w:szCs w:val="18"/>
          <w:lang w:val="en-NL" w:eastAsia="en-NL"/>
        </w:rPr>
        <w:lastRenderedPageBreak/>
        <w:t>Continue to stay with Oracle Database Standard Edition on version 12.1.0.1 and below for their existing licenses and Oracle will continue to support it as per support policies.</w:t>
      </w:r>
    </w:p>
    <w:p w14:paraId="5709A301" w14:textId="77777777" w:rsidR="00EB3091" w:rsidRPr="00EB3091" w:rsidRDefault="00EB3091" w:rsidP="00EB3091">
      <w:pPr>
        <w:numPr>
          <w:ilvl w:val="1"/>
          <w:numId w:val="1"/>
        </w:numPr>
        <w:pBdr>
          <w:bottom w:val="single" w:sz="6" w:space="18" w:color="E1DDDA"/>
        </w:pBdr>
        <w:spacing w:after="336" w:line="240" w:lineRule="auto"/>
        <w:ind w:left="0" w:right="240"/>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sz w:val="18"/>
          <w:szCs w:val="18"/>
          <w:lang w:val="en-NL" w:eastAsia="en-NL"/>
        </w:rPr>
        <w:t>Consider an upgrade to Oracle Enterprise Edition or Oracle Database Cloud Service.</w:t>
      </w:r>
    </w:p>
    <w:p w14:paraId="27BF4BA9" w14:textId="77777777" w:rsidR="00EB3091" w:rsidRPr="00EB3091" w:rsidRDefault="00EB3091" w:rsidP="00EB3091">
      <w:pPr>
        <w:numPr>
          <w:ilvl w:val="1"/>
          <w:numId w:val="1"/>
        </w:numPr>
        <w:pBdr>
          <w:bottom w:val="single" w:sz="6" w:space="18" w:color="E1DDDA"/>
        </w:pBdr>
        <w:spacing w:after="336" w:line="240" w:lineRule="auto"/>
        <w:ind w:left="0" w:right="240"/>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sz w:val="18"/>
          <w:szCs w:val="18"/>
          <w:lang w:val="en-NL" w:eastAsia="en-NL"/>
        </w:rPr>
        <w:t>Switch to a new 2-socket server (likely offering more processing capacity).</w:t>
      </w:r>
    </w:p>
    <w:p w14:paraId="70C65441" w14:textId="77777777" w:rsidR="00EB3091" w:rsidRPr="00EB3091" w:rsidRDefault="00EB3091" w:rsidP="00EB3091">
      <w:pPr>
        <w:numPr>
          <w:ilvl w:val="0"/>
          <w:numId w:val="1"/>
        </w:numPr>
        <w:pBdr>
          <w:bottom w:val="single" w:sz="6" w:space="18" w:color="E1DDDA"/>
        </w:pBdr>
        <w:spacing w:after="0" w:line="240" w:lineRule="auto"/>
        <w:ind w:left="0"/>
        <w:outlineLvl w:val="4"/>
        <w:rPr>
          <w:rFonts w:ascii="Times New Roman" w:eastAsia="Times New Roman" w:hAnsi="Times New Roman" w:cs="Times New Roman"/>
          <w:color w:val="161513"/>
          <w:sz w:val="18"/>
          <w:szCs w:val="18"/>
          <w:lang w:val="en-NL" w:eastAsia="en-NL"/>
        </w:rPr>
      </w:pPr>
      <w:r w:rsidRPr="00EB3091">
        <w:rPr>
          <w:rFonts w:ascii="Times New Roman" w:eastAsia="Times New Roman" w:hAnsi="Times New Roman" w:cs="Times New Roman"/>
          <w:color w:val="161513"/>
          <w:sz w:val="18"/>
          <w:szCs w:val="18"/>
          <w:lang w:val="en-NL" w:eastAsia="en-NL"/>
        </w:rPr>
        <w:t>Is it possible to license Oracle Database SE2 on a single processor of a 2 socket server?</w:t>
      </w:r>
    </w:p>
    <w:p w14:paraId="039B34DB" w14:textId="77777777" w:rsidR="00EB3091" w:rsidRPr="00EB3091" w:rsidRDefault="00EB3091" w:rsidP="00EB3091">
      <w:pPr>
        <w:pBdr>
          <w:bottom w:val="single" w:sz="6" w:space="18" w:color="E1DDDA"/>
        </w:pBdr>
        <w:spacing w:beforeAutospacing="1" w:after="0" w:afterAutospacing="1" w:line="240" w:lineRule="auto"/>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sz w:val="18"/>
          <w:szCs w:val="18"/>
          <w:lang w:val="en-NL" w:eastAsia="en-NL"/>
        </w:rPr>
        <w:t>Yes, Oracle Database SE2 can be licensed on a single processor of a 2 socket server provided the server is hard partition (using any of the approved hard partitioning technologies; see the Partitioning Document </w:t>
      </w:r>
      <w:hyperlink r:id="rId6" w:tgtFrame="_blank" w:history="1">
        <w:r w:rsidRPr="00EB3091">
          <w:rPr>
            <w:rFonts w:ascii="Times New Roman" w:eastAsia="Times New Roman" w:hAnsi="Times New Roman" w:cs="Times New Roman"/>
            <w:color w:val="00688C"/>
            <w:sz w:val="18"/>
            <w:szCs w:val="18"/>
            <w:lang w:val="en-NL" w:eastAsia="en-NL"/>
          </w:rPr>
          <w:t>here</w:t>
        </w:r>
      </w:hyperlink>
      <w:r w:rsidRPr="00EB3091">
        <w:rPr>
          <w:rFonts w:ascii="Times New Roman" w:eastAsia="Times New Roman" w:hAnsi="Times New Roman" w:cs="Times New Roman"/>
          <w:sz w:val="18"/>
          <w:szCs w:val="18"/>
          <w:lang w:val="en-NL" w:eastAsia="en-NL"/>
        </w:rPr>
        <w:t>) such that Oracle program is not installed and/or running on the 2nd socket.</w:t>
      </w:r>
    </w:p>
    <w:p w14:paraId="7447771E" w14:textId="77777777" w:rsidR="00EB3091" w:rsidRPr="00EB3091" w:rsidRDefault="00EB3091" w:rsidP="00EB3091">
      <w:pPr>
        <w:numPr>
          <w:ilvl w:val="0"/>
          <w:numId w:val="1"/>
        </w:numPr>
        <w:pBdr>
          <w:bottom w:val="single" w:sz="6" w:space="18" w:color="E1DDDA"/>
        </w:pBdr>
        <w:spacing w:after="0" w:line="240" w:lineRule="auto"/>
        <w:ind w:left="0"/>
        <w:outlineLvl w:val="4"/>
        <w:rPr>
          <w:rFonts w:ascii="Times New Roman" w:eastAsia="Times New Roman" w:hAnsi="Times New Roman" w:cs="Times New Roman"/>
          <w:color w:val="161513"/>
          <w:sz w:val="18"/>
          <w:szCs w:val="18"/>
          <w:lang w:val="en-NL" w:eastAsia="en-NL"/>
        </w:rPr>
      </w:pPr>
      <w:r w:rsidRPr="00EB3091">
        <w:rPr>
          <w:rFonts w:ascii="Times New Roman" w:eastAsia="Times New Roman" w:hAnsi="Times New Roman" w:cs="Times New Roman"/>
          <w:color w:val="161513"/>
          <w:sz w:val="18"/>
          <w:szCs w:val="18"/>
          <w:lang w:val="en-NL" w:eastAsia="en-NL"/>
        </w:rPr>
        <w:t>Is it possible to license Oracle Database SE2 on a single processor of a &gt;2 socket server using hard partitioning?</w:t>
      </w:r>
    </w:p>
    <w:p w14:paraId="74B1B7A0" w14:textId="77777777" w:rsidR="00EB3091" w:rsidRPr="00EB3091" w:rsidRDefault="00EB3091" w:rsidP="00EB3091">
      <w:pPr>
        <w:pBdr>
          <w:bottom w:val="single" w:sz="6" w:space="18" w:color="E1DDDA"/>
        </w:pBdr>
        <w:spacing w:before="100" w:beforeAutospacing="1" w:after="100" w:afterAutospacing="1" w:line="240" w:lineRule="auto"/>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sz w:val="18"/>
          <w:szCs w:val="18"/>
          <w:lang w:val="en-NL" w:eastAsia="en-NL"/>
        </w:rPr>
        <w:t>No, Oracle Database SE2 may only be licensed on servers that have a maximum capacity of 2 sockets.</w:t>
      </w:r>
    </w:p>
    <w:p w14:paraId="60DE6D88" w14:textId="77777777" w:rsidR="00EB3091" w:rsidRPr="00EB3091" w:rsidRDefault="00EB3091" w:rsidP="00EB3091">
      <w:pPr>
        <w:numPr>
          <w:ilvl w:val="0"/>
          <w:numId w:val="1"/>
        </w:numPr>
        <w:pBdr>
          <w:bottom w:val="single" w:sz="6" w:space="18" w:color="E1DDDA"/>
        </w:pBdr>
        <w:spacing w:after="0" w:line="240" w:lineRule="auto"/>
        <w:ind w:left="0"/>
        <w:outlineLvl w:val="4"/>
        <w:rPr>
          <w:rFonts w:ascii="Times New Roman" w:eastAsia="Times New Roman" w:hAnsi="Times New Roman" w:cs="Times New Roman"/>
          <w:color w:val="161513"/>
          <w:sz w:val="18"/>
          <w:szCs w:val="18"/>
          <w:lang w:val="en-NL" w:eastAsia="en-NL"/>
        </w:rPr>
      </w:pPr>
      <w:r w:rsidRPr="00EB3091">
        <w:rPr>
          <w:rFonts w:ascii="Times New Roman" w:eastAsia="Times New Roman" w:hAnsi="Times New Roman" w:cs="Times New Roman"/>
          <w:color w:val="161513"/>
          <w:sz w:val="18"/>
          <w:szCs w:val="18"/>
          <w:lang w:val="en-NL" w:eastAsia="en-NL"/>
        </w:rPr>
        <w:t>Can I run multiple databases on a server running Oracle Database SE2?</w:t>
      </w:r>
    </w:p>
    <w:p w14:paraId="501CF6B6" w14:textId="77777777" w:rsidR="00EB3091" w:rsidRPr="00EB3091" w:rsidRDefault="00EB3091" w:rsidP="00EB3091">
      <w:pPr>
        <w:pBdr>
          <w:bottom w:val="single" w:sz="6" w:space="18" w:color="E1DDDA"/>
        </w:pBdr>
        <w:spacing w:before="100" w:beforeAutospacing="1" w:after="100" w:afterAutospacing="1" w:line="240" w:lineRule="auto"/>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sz w:val="18"/>
          <w:szCs w:val="18"/>
          <w:lang w:val="en-NL" w:eastAsia="en-NL"/>
        </w:rPr>
        <w:t>Yes. You may run as many Oracle Database SE2 databases on a server as it can support.</w:t>
      </w:r>
    </w:p>
    <w:p w14:paraId="5210A88B" w14:textId="77777777" w:rsidR="00115B05" w:rsidRPr="000A2D27" w:rsidRDefault="00115B05">
      <w:pPr>
        <w:rPr>
          <w:sz w:val="18"/>
          <w:szCs w:val="18"/>
          <w:lang w:val="en-NL"/>
        </w:rPr>
      </w:pPr>
    </w:p>
    <w:sectPr w:rsidR="00115B05" w:rsidRPr="000A2D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5E79"/>
    <w:multiLevelType w:val="multilevel"/>
    <w:tmpl w:val="33D84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C3D17"/>
    <w:multiLevelType w:val="multilevel"/>
    <w:tmpl w:val="A4A6F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08E9"/>
    <w:rsid w:val="000A2D27"/>
    <w:rsid w:val="00115B05"/>
    <w:rsid w:val="00145FC1"/>
    <w:rsid w:val="001D08E9"/>
    <w:rsid w:val="00264E4E"/>
    <w:rsid w:val="0097578B"/>
    <w:rsid w:val="00EB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6897"/>
  <w15:chartTrackingRefBased/>
  <w15:docId w15:val="{0D62AB26-5D0E-4051-B8CA-B582C794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EB30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Kop4">
    <w:name w:val="heading 4"/>
    <w:basedOn w:val="Standaard"/>
    <w:link w:val="Kop4Char"/>
    <w:uiPriority w:val="9"/>
    <w:qFormat/>
    <w:rsid w:val="00EB3091"/>
    <w:pPr>
      <w:spacing w:before="100" w:beforeAutospacing="1" w:after="100" w:afterAutospacing="1" w:line="240" w:lineRule="auto"/>
      <w:outlineLvl w:val="3"/>
    </w:pPr>
    <w:rPr>
      <w:rFonts w:ascii="Times New Roman" w:eastAsia="Times New Roman" w:hAnsi="Times New Roman" w:cs="Times New Roman"/>
      <w:b/>
      <w:bCs/>
      <w:sz w:val="24"/>
      <w:szCs w:val="24"/>
      <w:lang w:val="en-NL" w:eastAsia="en-NL"/>
    </w:rPr>
  </w:style>
  <w:style w:type="paragraph" w:styleId="Kop5">
    <w:name w:val="heading 5"/>
    <w:basedOn w:val="Standaard"/>
    <w:link w:val="Kop5Char"/>
    <w:uiPriority w:val="9"/>
    <w:qFormat/>
    <w:rsid w:val="00EB3091"/>
    <w:pPr>
      <w:spacing w:before="100" w:beforeAutospacing="1" w:after="100" w:afterAutospacing="1" w:line="240" w:lineRule="auto"/>
      <w:outlineLvl w:val="4"/>
    </w:pPr>
    <w:rPr>
      <w:rFonts w:ascii="Times New Roman" w:eastAsia="Times New Roman" w:hAnsi="Times New Roman" w:cs="Times New Roman"/>
      <w:b/>
      <w:bCs/>
      <w:sz w:val="20"/>
      <w:szCs w:val="20"/>
      <w:lang w:val="en-NL" w:eastAsia="en-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B3091"/>
    <w:rPr>
      <w:rFonts w:ascii="Times New Roman" w:eastAsia="Times New Roman" w:hAnsi="Times New Roman" w:cs="Times New Roman"/>
      <w:b/>
      <w:bCs/>
      <w:kern w:val="36"/>
      <w:sz w:val="48"/>
      <w:szCs w:val="48"/>
      <w:lang w:val="en-NL" w:eastAsia="en-NL"/>
    </w:rPr>
  </w:style>
  <w:style w:type="character" w:customStyle="1" w:styleId="Kop4Char">
    <w:name w:val="Kop 4 Char"/>
    <w:basedOn w:val="Standaardalinea-lettertype"/>
    <w:link w:val="Kop4"/>
    <w:uiPriority w:val="9"/>
    <w:rsid w:val="00EB3091"/>
    <w:rPr>
      <w:rFonts w:ascii="Times New Roman" w:eastAsia="Times New Roman" w:hAnsi="Times New Roman" w:cs="Times New Roman"/>
      <w:b/>
      <w:bCs/>
      <w:sz w:val="24"/>
      <w:szCs w:val="24"/>
      <w:lang w:val="en-NL" w:eastAsia="en-NL"/>
    </w:rPr>
  </w:style>
  <w:style w:type="character" w:customStyle="1" w:styleId="Kop5Char">
    <w:name w:val="Kop 5 Char"/>
    <w:basedOn w:val="Standaardalinea-lettertype"/>
    <w:link w:val="Kop5"/>
    <w:uiPriority w:val="9"/>
    <w:rsid w:val="00EB3091"/>
    <w:rPr>
      <w:rFonts w:ascii="Times New Roman" w:eastAsia="Times New Roman" w:hAnsi="Times New Roman" w:cs="Times New Roman"/>
      <w:b/>
      <w:bCs/>
      <w:sz w:val="20"/>
      <w:szCs w:val="20"/>
      <w:lang w:val="en-NL" w:eastAsia="en-NL"/>
    </w:rPr>
  </w:style>
  <w:style w:type="paragraph" w:styleId="Normaalweb">
    <w:name w:val="Normal (Web)"/>
    <w:basedOn w:val="Standaard"/>
    <w:uiPriority w:val="99"/>
    <w:semiHidden/>
    <w:unhideWhenUsed/>
    <w:rsid w:val="00EB3091"/>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Standaardalinea-lettertype"/>
    <w:uiPriority w:val="99"/>
    <w:unhideWhenUsed/>
    <w:rsid w:val="00EB3091"/>
    <w:rPr>
      <w:color w:val="0000FF"/>
      <w:u w:val="single"/>
    </w:rPr>
  </w:style>
  <w:style w:type="character" w:customStyle="1" w:styleId="cb105open-all">
    <w:name w:val="cb105open-all"/>
    <w:basedOn w:val="Standaardalinea-lettertype"/>
    <w:rsid w:val="00EB3091"/>
  </w:style>
  <w:style w:type="paragraph" w:customStyle="1" w:styleId="cb105open">
    <w:name w:val="cb105open"/>
    <w:basedOn w:val="Standaard"/>
    <w:rsid w:val="00EB3091"/>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Nadruk">
    <w:name w:val="Emphasis"/>
    <w:basedOn w:val="Standaardalinea-lettertype"/>
    <w:uiPriority w:val="20"/>
    <w:qFormat/>
    <w:rsid w:val="00EB3091"/>
    <w:rPr>
      <w:i/>
      <w:iCs/>
    </w:rPr>
  </w:style>
  <w:style w:type="character" w:styleId="Onopgelostemelding">
    <w:name w:val="Unresolved Mention"/>
    <w:basedOn w:val="Standaardalinea-lettertype"/>
    <w:uiPriority w:val="99"/>
    <w:semiHidden/>
    <w:unhideWhenUsed/>
    <w:rsid w:val="00EB3091"/>
    <w:rPr>
      <w:color w:val="605E5C"/>
      <w:shd w:val="clear" w:color="auto" w:fill="E1DFDD"/>
    </w:rPr>
  </w:style>
  <w:style w:type="character" w:styleId="GevolgdeHyperlink">
    <w:name w:val="FollowedHyperlink"/>
    <w:basedOn w:val="Standaardalinea-lettertype"/>
    <w:uiPriority w:val="99"/>
    <w:semiHidden/>
    <w:unhideWhenUsed/>
    <w:rsid w:val="000A2D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619516">
      <w:bodyDiv w:val="1"/>
      <w:marLeft w:val="0"/>
      <w:marRight w:val="0"/>
      <w:marTop w:val="0"/>
      <w:marBottom w:val="0"/>
      <w:divBdr>
        <w:top w:val="none" w:sz="0" w:space="0" w:color="auto"/>
        <w:left w:val="none" w:sz="0" w:space="0" w:color="auto"/>
        <w:bottom w:val="none" w:sz="0" w:space="0" w:color="auto"/>
        <w:right w:val="none" w:sz="0" w:space="0" w:color="auto"/>
      </w:divBdr>
      <w:divsChild>
        <w:div w:id="293408281">
          <w:marLeft w:val="0"/>
          <w:marRight w:val="0"/>
          <w:marTop w:val="0"/>
          <w:marBottom w:val="0"/>
          <w:divBdr>
            <w:top w:val="none" w:sz="0" w:space="0" w:color="auto"/>
            <w:left w:val="none" w:sz="0" w:space="0" w:color="auto"/>
            <w:bottom w:val="none" w:sz="0" w:space="0" w:color="auto"/>
            <w:right w:val="none" w:sz="0" w:space="0" w:color="auto"/>
          </w:divBdr>
          <w:divsChild>
            <w:div w:id="1192106436">
              <w:marLeft w:val="0"/>
              <w:marRight w:val="0"/>
              <w:marTop w:val="0"/>
              <w:marBottom w:val="0"/>
              <w:divBdr>
                <w:top w:val="none" w:sz="0" w:space="0" w:color="auto"/>
                <w:left w:val="none" w:sz="0" w:space="0" w:color="auto"/>
                <w:bottom w:val="none" w:sz="0" w:space="0" w:color="auto"/>
                <w:right w:val="none" w:sz="0" w:space="0" w:color="auto"/>
              </w:divBdr>
            </w:div>
          </w:divsChild>
        </w:div>
        <w:div w:id="1794327592">
          <w:marLeft w:val="0"/>
          <w:marRight w:val="0"/>
          <w:marTop w:val="0"/>
          <w:marBottom w:val="0"/>
          <w:divBdr>
            <w:top w:val="none" w:sz="0" w:space="0" w:color="auto"/>
            <w:left w:val="none" w:sz="0" w:space="0" w:color="auto"/>
            <w:bottom w:val="none" w:sz="0" w:space="0" w:color="auto"/>
            <w:right w:val="none" w:sz="0" w:space="0" w:color="auto"/>
          </w:divBdr>
        </w:div>
        <w:div w:id="1970472568">
          <w:marLeft w:val="0"/>
          <w:marRight w:val="0"/>
          <w:marTop w:val="0"/>
          <w:marBottom w:val="0"/>
          <w:divBdr>
            <w:top w:val="none" w:sz="0" w:space="0" w:color="auto"/>
            <w:left w:val="none" w:sz="0" w:space="0" w:color="auto"/>
            <w:bottom w:val="none" w:sz="0" w:space="0" w:color="auto"/>
            <w:right w:val="none" w:sz="0" w:space="0" w:color="auto"/>
          </w:divBdr>
          <w:divsChild>
            <w:div w:id="209193312">
              <w:marLeft w:val="0"/>
              <w:marRight w:val="0"/>
              <w:marTop w:val="0"/>
              <w:marBottom w:val="0"/>
              <w:divBdr>
                <w:top w:val="none" w:sz="0" w:space="0" w:color="auto"/>
                <w:left w:val="none" w:sz="0" w:space="0" w:color="auto"/>
                <w:bottom w:val="none" w:sz="0" w:space="0" w:color="auto"/>
                <w:right w:val="none" w:sz="0" w:space="0" w:color="auto"/>
              </w:divBdr>
            </w:div>
            <w:div w:id="609092307">
              <w:marLeft w:val="0"/>
              <w:marRight w:val="0"/>
              <w:marTop w:val="0"/>
              <w:marBottom w:val="0"/>
              <w:divBdr>
                <w:top w:val="none" w:sz="0" w:space="0" w:color="auto"/>
                <w:left w:val="none" w:sz="0" w:space="0" w:color="auto"/>
                <w:bottom w:val="none" w:sz="0" w:space="0" w:color="auto"/>
                <w:right w:val="none" w:sz="0" w:space="0" w:color="auto"/>
              </w:divBdr>
            </w:div>
            <w:div w:id="1439714594">
              <w:marLeft w:val="0"/>
              <w:marRight w:val="0"/>
              <w:marTop w:val="0"/>
              <w:marBottom w:val="0"/>
              <w:divBdr>
                <w:top w:val="none" w:sz="0" w:space="0" w:color="auto"/>
                <w:left w:val="none" w:sz="0" w:space="0" w:color="auto"/>
                <w:bottom w:val="none" w:sz="0" w:space="0" w:color="auto"/>
                <w:right w:val="none" w:sz="0" w:space="0" w:color="auto"/>
              </w:divBdr>
            </w:div>
            <w:div w:id="819544685">
              <w:marLeft w:val="0"/>
              <w:marRight w:val="0"/>
              <w:marTop w:val="0"/>
              <w:marBottom w:val="0"/>
              <w:divBdr>
                <w:top w:val="none" w:sz="0" w:space="0" w:color="auto"/>
                <w:left w:val="none" w:sz="0" w:space="0" w:color="auto"/>
                <w:bottom w:val="none" w:sz="0" w:space="0" w:color="auto"/>
                <w:right w:val="none" w:sz="0" w:space="0" w:color="auto"/>
              </w:divBdr>
            </w:div>
            <w:div w:id="2050640282">
              <w:marLeft w:val="0"/>
              <w:marRight w:val="0"/>
              <w:marTop w:val="0"/>
              <w:marBottom w:val="0"/>
              <w:divBdr>
                <w:top w:val="none" w:sz="0" w:space="0" w:color="auto"/>
                <w:left w:val="none" w:sz="0" w:space="0" w:color="auto"/>
                <w:bottom w:val="none" w:sz="0" w:space="0" w:color="auto"/>
                <w:right w:val="none" w:sz="0" w:space="0" w:color="auto"/>
              </w:divBdr>
            </w:div>
            <w:div w:id="1121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us/corporate/pricing/partitioning-070609.pdf" TargetMode="External"/><Relationship Id="rId5" Type="http://schemas.openxmlformats.org/officeDocument/2006/relationships/hyperlink" Target="https://www.oracle.com/database/technologies/standard-edition-2-faq.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1393</Words>
  <Characters>7946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4</cp:revision>
  <dcterms:created xsi:type="dcterms:W3CDTF">2021-01-05T07:56:00Z</dcterms:created>
  <dcterms:modified xsi:type="dcterms:W3CDTF">2021-01-05T13:17:00Z</dcterms:modified>
</cp:coreProperties>
</file>