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8D9D4" w14:textId="233DC4CE" w:rsidR="00115B05" w:rsidRPr="00770373" w:rsidRDefault="00770373">
      <w:pPr>
        <w:rPr>
          <w:color w:val="FF0000"/>
          <w:sz w:val="16"/>
          <w:szCs w:val="16"/>
        </w:rPr>
      </w:pPr>
      <w:r w:rsidRPr="00770373">
        <w:rPr>
          <w:color w:val="FF0000"/>
          <w:sz w:val="16"/>
          <w:szCs w:val="16"/>
        </w:rPr>
        <w:t>https://www.oracle.com/security-alerts/alert-cve-2021-44228.html</w:t>
      </w:r>
    </w:p>
    <w:p w14:paraId="0041AD5D" w14:textId="77777777" w:rsidR="00770373" w:rsidRPr="00770373" w:rsidRDefault="00770373" w:rsidP="00770373">
      <w:pPr>
        <w:shd w:val="clear" w:color="auto" w:fill="FBF9F8"/>
        <w:spacing w:after="96" w:line="240" w:lineRule="auto"/>
        <w:outlineLvl w:val="1"/>
        <w:rPr>
          <w:rFonts w:ascii="Segoe UI" w:eastAsia="Times New Roman" w:hAnsi="Segoe UI" w:cs="Segoe UI"/>
          <w:b/>
          <w:bCs/>
          <w:color w:val="000000"/>
          <w:sz w:val="16"/>
          <w:szCs w:val="16"/>
          <w:lang w:val="en-GB" w:eastAsia="nl-NL"/>
        </w:rPr>
      </w:pPr>
      <w:r w:rsidRPr="00770373">
        <w:rPr>
          <w:rFonts w:ascii="Segoe UI" w:eastAsia="Times New Roman" w:hAnsi="Segoe UI" w:cs="Segoe UI"/>
          <w:b/>
          <w:bCs/>
          <w:color w:val="000000"/>
          <w:sz w:val="16"/>
          <w:szCs w:val="16"/>
          <w:lang w:val="en-GB" w:eastAsia="nl-NL"/>
        </w:rPr>
        <w:t>Oracle Security Alert Advisory - CVE-2021-44228</w:t>
      </w:r>
    </w:p>
    <w:p w14:paraId="72A47F8E" w14:textId="77777777" w:rsidR="00770373" w:rsidRPr="00770373" w:rsidRDefault="00770373" w:rsidP="00770373">
      <w:pPr>
        <w:shd w:val="clear" w:color="auto" w:fill="FBF9F8"/>
        <w:spacing w:after="96" w:line="240" w:lineRule="auto"/>
        <w:outlineLvl w:val="2"/>
        <w:rPr>
          <w:rFonts w:ascii="Segoe UI" w:eastAsia="Times New Roman" w:hAnsi="Segoe UI" w:cs="Segoe UI"/>
          <w:b/>
          <w:bCs/>
          <w:color w:val="000000"/>
          <w:sz w:val="16"/>
          <w:szCs w:val="16"/>
          <w:lang w:val="en-GB" w:eastAsia="nl-NL"/>
        </w:rPr>
      </w:pPr>
      <w:r w:rsidRPr="00770373">
        <w:rPr>
          <w:rFonts w:ascii="Segoe UI" w:eastAsia="Times New Roman" w:hAnsi="Segoe UI" w:cs="Segoe UI"/>
          <w:b/>
          <w:bCs/>
          <w:color w:val="000000"/>
          <w:sz w:val="16"/>
          <w:szCs w:val="16"/>
          <w:lang w:val="en-GB" w:eastAsia="nl-NL"/>
        </w:rPr>
        <w:t>Description</w:t>
      </w:r>
    </w:p>
    <w:p w14:paraId="2BBE6DD3" w14:textId="77777777" w:rsidR="00770373" w:rsidRPr="00770373" w:rsidRDefault="00770373" w:rsidP="00770373">
      <w:pPr>
        <w:shd w:val="clear" w:color="auto" w:fill="FBF9F8"/>
        <w:spacing w:after="0" w:line="240" w:lineRule="auto"/>
        <w:rPr>
          <w:rFonts w:ascii="Segoe UI" w:eastAsia="Times New Roman" w:hAnsi="Segoe UI" w:cs="Segoe UI"/>
          <w:color w:val="000000"/>
          <w:sz w:val="16"/>
          <w:szCs w:val="16"/>
          <w:lang w:val="en-GB" w:eastAsia="nl-NL"/>
        </w:rPr>
      </w:pPr>
      <w:r w:rsidRPr="00770373">
        <w:rPr>
          <w:rFonts w:ascii="Segoe UI" w:eastAsia="Times New Roman" w:hAnsi="Segoe UI" w:cs="Segoe UI"/>
          <w:color w:val="000000"/>
          <w:sz w:val="16"/>
          <w:szCs w:val="16"/>
          <w:lang w:val="en-GB" w:eastAsia="nl-NL"/>
        </w:rPr>
        <w:t>This Security Alert addresses CVE-2021-44228, a remote code execution vulnerability in Apache Log4j. It is remotely exploitable without authentication, i.e., may be exploited over a network without the need for a username and password. It also addresses CVE-2021-45046, which arose as an incomplete fix by Apache to CVE-2021-44228.</w:t>
      </w:r>
      <w:r w:rsidRPr="00770373">
        <w:rPr>
          <w:rFonts w:ascii="Segoe UI" w:eastAsia="Times New Roman" w:hAnsi="Segoe UI" w:cs="Segoe UI"/>
          <w:color w:val="000000"/>
          <w:sz w:val="16"/>
          <w:szCs w:val="16"/>
          <w:lang w:val="en-GB" w:eastAsia="nl-NL"/>
        </w:rPr>
        <w:br/>
      </w:r>
      <w:r w:rsidRPr="00770373">
        <w:rPr>
          <w:rFonts w:ascii="Segoe UI" w:eastAsia="Times New Roman" w:hAnsi="Segoe UI" w:cs="Segoe UI"/>
          <w:color w:val="000000"/>
          <w:sz w:val="16"/>
          <w:szCs w:val="16"/>
          <w:lang w:val="en-GB" w:eastAsia="nl-NL"/>
        </w:rPr>
        <w:br/>
        <w:t>Due to the severity of this vulnerability and the publication of exploit code on various sites, Oracle strongly recommends that customers apply the updates provided by this Security Alert as soon as possible.</w:t>
      </w:r>
    </w:p>
    <w:p w14:paraId="4387EFC6" w14:textId="77777777" w:rsidR="00770373" w:rsidRPr="00770373" w:rsidRDefault="00770373" w:rsidP="00770373">
      <w:pPr>
        <w:shd w:val="clear" w:color="auto" w:fill="FBF9F8"/>
        <w:spacing w:after="96" w:line="240" w:lineRule="auto"/>
        <w:outlineLvl w:val="2"/>
        <w:rPr>
          <w:rFonts w:ascii="Segoe UI" w:eastAsia="Times New Roman" w:hAnsi="Segoe UI" w:cs="Segoe UI"/>
          <w:b/>
          <w:bCs/>
          <w:color w:val="000000"/>
          <w:sz w:val="16"/>
          <w:szCs w:val="16"/>
          <w:lang w:val="en-GB" w:eastAsia="nl-NL"/>
        </w:rPr>
      </w:pPr>
      <w:r w:rsidRPr="00770373">
        <w:rPr>
          <w:rFonts w:ascii="Segoe UI" w:eastAsia="Times New Roman" w:hAnsi="Segoe UI" w:cs="Segoe UI"/>
          <w:b/>
          <w:bCs/>
          <w:color w:val="000000"/>
          <w:sz w:val="16"/>
          <w:szCs w:val="16"/>
          <w:lang w:val="en-GB" w:eastAsia="nl-NL"/>
        </w:rPr>
        <w:t>Affected Products and Patch Information</w:t>
      </w:r>
    </w:p>
    <w:p w14:paraId="51065AA4" w14:textId="77777777" w:rsidR="00770373" w:rsidRPr="00770373" w:rsidRDefault="00770373" w:rsidP="00770373">
      <w:pPr>
        <w:shd w:val="clear" w:color="auto" w:fill="FBF9F8"/>
        <w:spacing w:after="264" w:line="240" w:lineRule="auto"/>
        <w:rPr>
          <w:rFonts w:ascii="Segoe UI" w:eastAsia="Times New Roman" w:hAnsi="Segoe UI" w:cs="Segoe UI"/>
          <w:color w:val="000000"/>
          <w:sz w:val="16"/>
          <w:szCs w:val="16"/>
          <w:lang w:val="en-GB" w:eastAsia="nl-NL"/>
        </w:rPr>
      </w:pPr>
      <w:r w:rsidRPr="00770373">
        <w:rPr>
          <w:rFonts w:ascii="Segoe UI" w:eastAsia="Times New Roman" w:hAnsi="Segoe UI" w:cs="Segoe UI"/>
          <w:color w:val="000000"/>
          <w:sz w:val="16"/>
          <w:szCs w:val="16"/>
          <w:lang w:val="en-GB" w:eastAsia="nl-NL"/>
        </w:rPr>
        <w:t>Security vulnerabilities addressed by this Security Alert affect the product listed below. The product area is shown in the Patch Availability Document column.</w:t>
      </w:r>
    </w:p>
    <w:p w14:paraId="7BD02C00" w14:textId="77777777" w:rsidR="00770373" w:rsidRPr="00770373" w:rsidRDefault="00770373" w:rsidP="00770373">
      <w:pPr>
        <w:shd w:val="clear" w:color="auto" w:fill="FBF9F8"/>
        <w:spacing w:after="0" w:line="240" w:lineRule="auto"/>
        <w:rPr>
          <w:rFonts w:ascii="Segoe UI" w:eastAsia="Times New Roman" w:hAnsi="Segoe UI" w:cs="Segoe UI"/>
          <w:color w:val="000000"/>
          <w:sz w:val="16"/>
          <w:szCs w:val="16"/>
          <w:lang w:val="en-GB" w:eastAsia="nl-NL"/>
        </w:rPr>
      </w:pPr>
      <w:r w:rsidRPr="00770373">
        <w:rPr>
          <w:rFonts w:ascii="Segoe UI" w:eastAsia="Times New Roman" w:hAnsi="Segoe UI" w:cs="Segoe UI"/>
          <w:b/>
          <w:bCs/>
          <w:color w:val="000000"/>
          <w:sz w:val="16"/>
          <w:szCs w:val="16"/>
          <w:lang w:val="en-GB" w:eastAsia="nl-NL"/>
        </w:rPr>
        <w:t>Please click on the links in the Patch Availability Document column below to access the documentation for patch availability information and installation instructions.</w:t>
      </w:r>
    </w:p>
    <w:tbl>
      <w:tblPr>
        <w:tblW w:w="0" w:type="auto"/>
        <w:tblBorders>
          <w:top w:val="single" w:sz="6" w:space="0" w:color="7A736E"/>
          <w:left w:val="single" w:sz="6" w:space="0" w:color="7A736E"/>
          <w:bottom w:val="single" w:sz="6" w:space="0" w:color="7A736E"/>
          <w:right w:val="single" w:sz="6" w:space="0" w:color="7A736E"/>
        </w:tblBorders>
        <w:tblCellMar>
          <w:left w:w="0" w:type="dxa"/>
          <w:right w:w="0" w:type="dxa"/>
        </w:tblCellMar>
        <w:tblLook w:val="04A0" w:firstRow="1" w:lastRow="0" w:firstColumn="1" w:lastColumn="0" w:noHBand="0" w:noVBand="1"/>
      </w:tblPr>
      <w:tblGrid>
        <w:gridCol w:w="2362"/>
        <w:gridCol w:w="2118"/>
      </w:tblGrid>
      <w:tr w:rsidR="00770373" w:rsidRPr="00770373" w14:paraId="6D14D292" w14:textId="77777777" w:rsidTr="003C48EC">
        <w:trPr>
          <w:tblHeader/>
        </w:trPr>
        <w:tc>
          <w:tcPr>
            <w:tcW w:w="0" w:type="auto"/>
            <w:tcBorders>
              <w:top w:val="single" w:sz="6" w:space="0" w:color="8B8580"/>
              <w:left w:val="single" w:sz="6" w:space="0" w:color="8B8580"/>
              <w:bottom w:val="single" w:sz="6" w:space="0" w:color="7A736E"/>
              <w:right w:val="single" w:sz="6" w:space="0" w:color="8B8580"/>
            </w:tcBorders>
            <w:shd w:val="clear" w:color="auto" w:fill="E1DDDA"/>
            <w:tcMar>
              <w:top w:w="72" w:type="dxa"/>
              <w:left w:w="72" w:type="dxa"/>
              <w:bottom w:w="72" w:type="dxa"/>
              <w:right w:w="72" w:type="dxa"/>
            </w:tcMar>
            <w:vAlign w:val="center"/>
            <w:hideMark/>
          </w:tcPr>
          <w:p w14:paraId="7C3507D0" w14:textId="77777777" w:rsidR="00770373" w:rsidRPr="00770373" w:rsidRDefault="00770373" w:rsidP="00770373">
            <w:pPr>
              <w:spacing w:after="0" w:line="240" w:lineRule="auto"/>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Affected Products and Versions</w:t>
            </w:r>
          </w:p>
        </w:tc>
        <w:tc>
          <w:tcPr>
            <w:tcW w:w="0" w:type="auto"/>
            <w:tcBorders>
              <w:top w:val="single" w:sz="6" w:space="0" w:color="8B8580"/>
              <w:left w:val="single" w:sz="6" w:space="0" w:color="8B8580"/>
              <w:bottom w:val="single" w:sz="6" w:space="0" w:color="8B8580"/>
              <w:right w:val="single" w:sz="6" w:space="0" w:color="8B8580"/>
            </w:tcBorders>
            <w:shd w:val="clear" w:color="auto" w:fill="E1DDDA"/>
            <w:tcMar>
              <w:top w:w="72" w:type="dxa"/>
              <w:left w:w="72" w:type="dxa"/>
              <w:bottom w:w="72" w:type="dxa"/>
              <w:right w:w="72" w:type="dxa"/>
            </w:tcMar>
            <w:vAlign w:val="center"/>
            <w:hideMark/>
          </w:tcPr>
          <w:p w14:paraId="1979B4AB" w14:textId="77777777" w:rsidR="00770373" w:rsidRPr="00770373" w:rsidRDefault="00770373" w:rsidP="00770373">
            <w:pPr>
              <w:spacing w:after="0" w:line="240" w:lineRule="auto"/>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Patch Availability Document</w:t>
            </w:r>
          </w:p>
        </w:tc>
      </w:tr>
      <w:tr w:rsidR="00770373" w:rsidRPr="00770373" w14:paraId="4975E253" w14:textId="77777777" w:rsidTr="003C48EC">
        <w:tc>
          <w:tcPr>
            <w:tcW w:w="0" w:type="auto"/>
            <w:tcBorders>
              <w:top w:val="single" w:sz="6" w:space="0" w:color="8B8580"/>
              <w:left w:val="single" w:sz="6" w:space="0" w:color="8B8580"/>
              <w:bottom w:val="single" w:sz="6" w:space="0" w:color="8B8580"/>
              <w:right w:val="single" w:sz="6" w:space="0" w:color="8B8580"/>
            </w:tcBorders>
            <w:shd w:val="clear" w:color="auto" w:fill="FFFFFF"/>
            <w:tcMar>
              <w:top w:w="72" w:type="dxa"/>
              <w:left w:w="72" w:type="dxa"/>
              <w:bottom w:w="72" w:type="dxa"/>
              <w:right w:w="72" w:type="dxa"/>
            </w:tcMar>
            <w:vAlign w:val="center"/>
            <w:hideMark/>
          </w:tcPr>
          <w:p w14:paraId="52DF0BB2" w14:textId="77777777" w:rsidR="00770373" w:rsidRPr="00770373" w:rsidRDefault="00770373" w:rsidP="00770373">
            <w:pPr>
              <w:spacing w:after="0" w:line="240" w:lineRule="auto"/>
              <w:rPr>
                <w:rFonts w:ascii="Times New Roman" w:eastAsia="Times New Roman" w:hAnsi="Times New Roman" w:cs="Times New Roman"/>
                <w:color w:val="161513"/>
                <w:sz w:val="16"/>
                <w:szCs w:val="16"/>
                <w:lang w:eastAsia="nl-NL"/>
              </w:rPr>
            </w:pPr>
            <w:hyperlink r:id="rId5" w:anchor="Appendix3RD" w:history="1">
              <w:r w:rsidRPr="00770373">
                <w:rPr>
                  <w:rFonts w:ascii="Times New Roman" w:eastAsia="Times New Roman" w:hAnsi="Times New Roman" w:cs="Times New Roman"/>
                  <w:color w:val="006B8F"/>
                  <w:sz w:val="16"/>
                  <w:szCs w:val="16"/>
                  <w:lang w:eastAsia="nl-NL"/>
                </w:rPr>
                <w:t>Apache Log4j, versions 2.0-2.15.0</w:t>
              </w:r>
            </w:hyperlink>
          </w:p>
        </w:tc>
        <w:tc>
          <w:tcPr>
            <w:tcW w:w="0" w:type="auto"/>
            <w:tcBorders>
              <w:top w:val="single" w:sz="6" w:space="0" w:color="8B8580"/>
              <w:left w:val="single" w:sz="6" w:space="0" w:color="8B8580"/>
              <w:bottom w:val="single" w:sz="6" w:space="0" w:color="8B8580"/>
              <w:right w:val="single" w:sz="6" w:space="0" w:color="8B8580"/>
            </w:tcBorders>
            <w:shd w:val="clear" w:color="auto" w:fill="FFFFFF"/>
            <w:tcMar>
              <w:top w:w="72" w:type="dxa"/>
              <w:left w:w="72" w:type="dxa"/>
              <w:bottom w:w="72" w:type="dxa"/>
              <w:right w:w="72" w:type="dxa"/>
            </w:tcMar>
            <w:vAlign w:val="center"/>
            <w:hideMark/>
          </w:tcPr>
          <w:p w14:paraId="51D091CA" w14:textId="77777777" w:rsidR="00770373" w:rsidRPr="00770373" w:rsidRDefault="00770373" w:rsidP="00770373">
            <w:pPr>
              <w:spacing w:after="0" w:line="240" w:lineRule="auto"/>
              <w:rPr>
                <w:rFonts w:ascii="Times New Roman" w:eastAsia="Times New Roman" w:hAnsi="Times New Roman" w:cs="Times New Roman"/>
                <w:color w:val="161513"/>
                <w:sz w:val="16"/>
                <w:szCs w:val="16"/>
                <w:lang w:eastAsia="nl-NL"/>
              </w:rPr>
            </w:pPr>
            <w:hyperlink r:id="rId6" w:tgtFrame="_blank" w:history="1">
              <w:r w:rsidRPr="00770373">
                <w:rPr>
                  <w:rFonts w:ascii="Times New Roman" w:eastAsia="Times New Roman" w:hAnsi="Times New Roman" w:cs="Times New Roman"/>
                  <w:color w:val="006B8F"/>
                  <w:sz w:val="16"/>
                  <w:szCs w:val="16"/>
                  <w:lang w:eastAsia="nl-NL"/>
                </w:rPr>
                <w:t>My Oracle Support Document</w:t>
              </w:r>
            </w:hyperlink>
          </w:p>
        </w:tc>
      </w:tr>
    </w:tbl>
    <w:p w14:paraId="4A78723A" w14:textId="77777777" w:rsidR="00770373" w:rsidRPr="00770373" w:rsidRDefault="00770373" w:rsidP="00770373">
      <w:pPr>
        <w:shd w:val="clear" w:color="auto" w:fill="FBF9F8"/>
        <w:spacing w:line="240" w:lineRule="auto"/>
        <w:rPr>
          <w:rFonts w:ascii="Segoe UI" w:eastAsia="Times New Roman" w:hAnsi="Segoe UI" w:cs="Segoe UI"/>
          <w:vanish/>
          <w:color w:val="000000"/>
          <w:sz w:val="16"/>
          <w:szCs w:val="16"/>
          <w:lang w:eastAsia="nl-NL"/>
        </w:rPr>
      </w:pPr>
    </w:p>
    <w:p w14:paraId="7F4E1AA1" w14:textId="77777777" w:rsidR="00770373" w:rsidRPr="00770373" w:rsidRDefault="00770373" w:rsidP="00770373">
      <w:pPr>
        <w:shd w:val="clear" w:color="auto" w:fill="FBF9F8"/>
        <w:spacing w:after="96" w:line="240" w:lineRule="auto"/>
        <w:outlineLvl w:val="2"/>
        <w:rPr>
          <w:rFonts w:ascii="Segoe UI" w:eastAsia="Times New Roman" w:hAnsi="Segoe UI" w:cs="Segoe UI"/>
          <w:b/>
          <w:bCs/>
          <w:color w:val="000000"/>
          <w:sz w:val="16"/>
          <w:szCs w:val="16"/>
          <w:lang w:val="en-GB" w:eastAsia="nl-NL"/>
        </w:rPr>
      </w:pPr>
      <w:bookmarkStart w:id="0" w:name="Supported"/>
      <w:bookmarkEnd w:id="0"/>
      <w:r w:rsidRPr="00770373">
        <w:rPr>
          <w:rFonts w:ascii="Segoe UI" w:eastAsia="Times New Roman" w:hAnsi="Segoe UI" w:cs="Segoe UI"/>
          <w:b/>
          <w:bCs/>
          <w:color w:val="000000"/>
          <w:sz w:val="16"/>
          <w:szCs w:val="16"/>
          <w:lang w:val="en-GB" w:eastAsia="nl-NL"/>
        </w:rPr>
        <w:t>Security Alert Supported Products and Versions</w:t>
      </w:r>
    </w:p>
    <w:p w14:paraId="726084E7" w14:textId="77777777" w:rsidR="00770373" w:rsidRPr="00770373" w:rsidRDefault="00770373" w:rsidP="00770373">
      <w:pPr>
        <w:shd w:val="clear" w:color="auto" w:fill="FBF9F8"/>
        <w:spacing w:after="0" w:line="240" w:lineRule="auto"/>
        <w:rPr>
          <w:rFonts w:ascii="Segoe UI" w:eastAsia="Times New Roman" w:hAnsi="Segoe UI" w:cs="Segoe UI"/>
          <w:color w:val="000000"/>
          <w:sz w:val="16"/>
          <w:szCs w:val="16"/>
          <w:lang w:val="en-GB" w:eastAsia="nl-NL"/>
        </w:rPr>
      </w:pPr>
      <w:r w:rsidRPr="00770373">
        <w:rPr>
          <w:rFonts w:ascii="Segoe UI" w:eastAsia="Times New Roman" w:hAnsi="Segoe UI" w:cs="Segoe UI"/>
          <w:color w:val="000000"/>
          <w:sz w:val="16"/>
          <w:szCs w:val="16"/>
          <w:lang w:val="en-GB" w:eastAsia="nl-NL"/>
        </w:rPr>
        <w:t>Patches released through the Security Alert program are provided only for product versions that are covered under the Premier Support or Extended Support phases of the </w:t>
      </w:r>
      <w:hyperlink r:id="rId7" w:history="1">
        <w:r w:rsidRPr="00770373">
          <w:rPr>
            <w:rFonts w:ascii="Segoe UI" w:eastAsia="Times New Roman" w:hAnsi="Segoe UI" w:cs="Segoe UI"/>
            <w:color w:val="006B8F"/>
            <w:sz w:val="16"/>
            <w:szCs w:val="16"/>
            <w:lang w:val="en-GB" w:eastAsia="nl-NL"/>
          </w:rPr>
          <w:t>Lifetime Support Policy</w:t>
        </w:r>
      </w:hyperlink>
      <w:r w:rsidRPr="00770373">
        <w:rPr>
          <w:rFonts w:ascii="Segoe UI" w:eastAsia="Times New Roman" w:hAnsi="Segoe UI" w:cs="Segoe UI"/>
          <w:color w:val="000000"/>
          <w:sz w:val="16"/>
          <w:szCs w:val="16"/>
          <w:lang w:val="en-GB" w:eastAsia="nl-NL"/>
        </w:rPr>
        <w:t>. Oracle recommends that customers plan product upgrades to ensure that patches released through the Security Alert program are available for the versions they are currently running.</w:t>
      </w:r>
    </w:p>
    <w:p w14:paraId="7BD779D7" w14:textId="77777777" w:rsidR="00770373" w:rsidRPr="00770373" w:rsidRDefault="00770373" w:rsidP="00770373">
      <w:pPr>
        <w:shd w:val="clear" w:color="auto" w:fill="FBF9F8"/>
        <w:spacing w:after="264" w:line="240" w:lineRule="auto"/>
        <w:rPr>
          <w:rFonts w:ascii="Segoe UI" w:eastAsia="Times New Roman" w:hAnsi="Segoe UI" w:cs="Segoe UI"/>
          <w:color w:val="000000"/>
          <w:sz w:val="16"/>
          <w:szCs w:val="16"/>
          <w:lang w:val="en-GB" w:eastAsia="nl-NL"/>
        </w:rPr>
      </w:pPr>
      <w:r w:rsidRPr="00770373">
        <w:rPr>
          <w:rFonts w:ascii="Segoe UI" w:eastAsia="Times New Roman" w:hAnsi="Segoe UI" w:cs="Segoe UI"/>
          <w:color w:val="000000"/>
          <w:sz w:val="16"/>
          <w:szCs w:val="16"/>
          <w:lang w:val="en-GB" w:eastAsia="nl-NL"/>
        </w:rPr>
        <w:t>Product releases that are not under Premier Support or Extended Support are not tested for the presence of vulnerabilities addressed by this Security Alert. However, it is likely that earlier versions of affected releases are also affected by these vulnerabilities. As a result, Oracle recommends that customers upgrade to supported versions.</w:t>
      </w:r>
    </w:p>
    <w:p w14:paraId="146A2AEA" w14:textId="77777777" w:rsidR="00770373" w:rsidRPr="00770373" w:rsidRDefault="00770373" w:rsidP="00770373">
      <w:pPr>
        <w:shd w:val="clear" w:color="auto" w:fill="FBF9F8"/>
        <w:spacing w:after="0" w:line="240" w:lineRule="auto"/>
        <w:rPr>
          <w:rFonts w:ascii="Segoe UI" w:eastAsia="Times New Roman" w:hAnsi="Segoe UI" w:cs="Segoe UI"/>
          <w:color w:val="000000"/>
          <w:sz w:val="16"/>
          <w:szCs w:val="16"/>
          <w:lang w:val="en-GB" w:eastAsia="nl-NL"/>
        </w:rPr>
      </w:pPr>
      <w:r w:rsidRPr="00770373">
        <w:rPr>
          <w:rFonts w:ascii="Segoe UI" w:eastAsia="Times New Roman" w:hAnsi="Segoe UI" w:cs="Segoe UI"/>
          <w:color w:val="000000"/>
          <w:sz w:val="16"/>
          <w:szCs w:val="16"/>
          <w:lang w:val="en-GB" w:eastAsia="nl-NL"/>
        </w:rPr>
        <w:t>Database, Fusion Middleware, Oracle Enterprise Manager products are patched in accordance with the Software Error Correction Support Policy explained in </w:t>
      </w:r>
      <w:hyperlink r:id="rId8" w:history="1">
        <w:r w:rsidRPr="00770373">
          <w:rPr>
            <w:rFonts w:ascii="Segoe UI" w:eastAsia="Times New Roman" w:hAnsi="Segoe UI" w:cs="Segoe UI"/>
            <w:color w:val="006B8F"/>
            <w:sz w:val="16"/>
            <w:szCs w:val="16"/>
            <w:lang w:val="en-GB" w:eastAsia="nl-NL"/>
          </w:rPr>
          <w:t>My Oracle Support Note 209768.1</w:t>
        </w:r>
      </w:hyperlink>
      <w:r w:rsidRPr="00770373">
        <w:rPr>
          <w:rFonts w:ascii="Segoe UI" w:eastAsia="Times New Roman" w:hAnsi="Segoe UI" w:cs="Segoe UI"/>
          <w:color w:val="000000"/>
          <w:sz w:val="16"/>
          <w:szCs w:val="16"/>
          <w:lang w:val="en-GB" w:eastAsia="nl-NL"/>
        </w:rPr>
        <w:t>. Please review the </w:t>
      </w:r>
      <w:hyperlink r:id="rId9" w:history="1">
        <w:r w:rsidRPr="00770373">
          <w:rPr>
            <w:rFonts w:ascii="Segoe UI" w:eastAsia="Times New Roman" w:hAnsi="Segoe UI" w:cs="Segoe UI"/>
            <w:color w:val="006B8F"/>
            <w:sz w:val="16"/>
            <w:szCs w:val="16"/>
            <w:lang w:val="en-GB" w:eastAsia="nl-NL"/>
          </w:rPr>
          <w:t>Technical Support Policies</w:t>
        </w:r>
      </w:hyperlink>
      <w:r w:rsidRPr="00770373">
        <w:rPr>
          <w:rFonts w:ascii="Segoe UI" w:eastAsia="Times New Roman" w:hAnsi="Segoe UI" w:cs="Segoe UI"/>
          <w:color w:val="000000"/>
          <w:sz w:val="16"/>
          <w:szCs w:val="16"/>
          <w:lang w:val="en-GB" w:eastAsia="nl-NL"/>
        </w:rPr>
        <w:t> for further guidelines regarding support policies and phases of support.</w:t>
      </w:r>
    </w:p>
    <w:p w14:paraId="47FD0596" w14:textId="77777777" w:rsidR="00770373" w:rsidRPr="00770373" w:rsidRDefault="00770373" w:rsidP="00770373">
      <w:pPr>
        <w:shd w:val="clear" w:color="auto" w:fill="FBF9F8"/>
        <w:spacing w:after="96" w:line="240" w:lineRule="auto"/>
        <w:outlineLvl w:val="2"/>
        <w:rPr>
          <w:rFonts w:ascii="Segoe UI" w:eastAsia="Times New Roman" w:hAnsi="Segoe UI" w:cs="Segoe UI"/>
          <w:b/>
          <w:bCs/>
          <w:color w:val="000000"/>
          <w:sz w:val="16"/>
          <w:szCs w:val="16"/>
          <w:lang w:eastAsia="nl-NL"/>
        </w:rPr>
      </w:pPr>
      <w:r w:rsidRPr="00770373">
        <w:rPr>
          <w:rFonts w:ascii="Segoe UI" w:eastAsia="Times New Roman" w:hAnsi="Segoe UI" w:cs="Segoe UI"/>
          <w:b/>
          <w:bCs/>
          <w:color w:val="000000"/>
          <w:sz w:val="16"/>
          <w:szCs w:val="16"/>
          <w:lang w:eastAsia="nl-NL"/>
        </w:rPr>
        <w:t>References</w:t>
      </w:r>
    </w:p>
    <w:p w14:paraId="50CC1645" w14:textId="77777777" w:rsidR="00770373" w:rsidRPr="00770373" w:rsidRDefault="00770373" w:rsidP="00770373">
      <w:pPr>
        <w:numPr>
          <w:ilvl w:val="0"/>
          <w:numId w:val="1"/>
        </w:numPr>
        <w:shd w:val="clear" w:color="auto" w:fill="FBF9F8"/>
        <w:spacing w:after="0" w:line="240" w:lineRule="auto"/>
        <w:ind w:right="240"/>
        <w:rPr>
          <w:rFonts w:ascii="Segoe UI" w:eastAsia="Times New Roman" w:hAnsi="Segoe UI" w:cs="Segoe UI"/>
          <w:color w:val="000000"/>
          <w:sz w:val="16"/>
          <w:szCs w:val="16"/>
          <w:lang w:val="en-GB" w:eastAsia="nl-NL"/>
        </w:rPr>
      </w:pPr>
      <w:hyperlink r:id="rId10" w:history="1">
        <w:r w:rsidRPr="00770373">
          <w:rPr>
            <w:rFonts w:ascii="Segoe UI" w:eastAsia="Times New Roman" w:hAnsi="Segoe UI" w:cs="Segoe UI"/>
            <w:color w:val="006B8F"/>
            <w:sz w:val="16"/>
            <w:szCs w:val="16"/>
            <w:lang w:val="en-GB" w:eastAsia="nl-NL"/>
          </w:rPr>
          <w:t>Oracle Critical Patch Updates, Security Alerts and Bulletins</w:t>
        </w:r>
      </w:hyperlink>
    </w:p>
    <w:p w14:paraId="407F398C" w14:textId="77777777" w:rsidR="00770373" w:rsidRPr="00770373" w:rsidRDefault="00770373" w:rsidP="00770373">
      <w:pPr>
        <w:numPr>
          <w:ilvl w:val="0"/>
          <w:numId w:val="1"/>
        </w:numPr>
        <w:shd w:val="clear" w:color="auto" w:fill="FBF9F8"/>
        <w:spacing w:after="0" w:line="240" w:lineRule="auto"/>
        <w:ind w:right="240"/>
        <w:rPr>
          <w:rFonts w:ascii="Segoe UI" w:eastAsia="Times New Roman" w:hAnsi="Segoe UI" w:cs="Segoe UI"/>
          <w:color w:val="000000"/>
          <w:sz w:val="16"/>
          <w:szCs w:val="16"/>
          <w:lang w:val="en-GB" w:eastAsia="nl-NL"/>
        </w:rPr>
      </w:pPr>
      <w:hyperlink r:id="rId11" w:history="1">
        <w:r w:rsidRPr="00770373">
          <w:rPr>
            <w:rFonts w:ascii="Segoe UI" w:eastAsia="Times New Roman" w:hAnsi="Segoe UI" w:cs="Segoe UI"/>
            <w:color w:val="006B8F"/>
            <w:sz w:val="16"/>
            <w:szCs w:val="16"/>
            <w:lang w:val="en-GB" w:eastAsia="nl-NL"/>
          </w:rPr>
          <w:t>Oracle Critical Patch Updates and Security Alerts - Frequently Asked Questions</w:t>
        </w:r>
      </w:hyperlink>
    </w:p>
    <w:p w14:paraId="6BCF7996" w14:textId="77777777" w:rsidR="00770373" w:rsidRPr="00770373" w:rsidRDefault="00770373" w:rsidP="00770373">
      <w:pPr>
        <w:numPr>
          <w:ilvl w:val="0"/>
          <w:numId w:val="1"/>
        </w:numPr>
        <w:shd w:val="clear" w:color="auto" w:fill="FBF9F8"/>
        <w:spacing w:after="0" w:line="240" w:lineRule="auto"/>
        <w:ind w:right="240"/>
        <w:rPr>
          <w:rFonts w:ascii="Segoe UI" w:eastAsia="Times New Roman" w:hAnsi="Segoe UI" w:cs="Segoe UI"/>
          <w:color w:val="000000"/>
          <w:sz w:val="16"/>
          <w:szCs w:val="16"/>
          <w:lang w:eastAsia="nl-NL"/>
        </w:rPr>
      </w:pPr>
      <w:hyperlink r:id="rId12" w:history="1">
        <w:r w:rsidRPr="00770373">
          <w:rPr>
            <w:rFonts w:ascii="Segoe UI" w:eastAsia="Times New Roman" w:hAnsi="Segoe UI" w:cs="Segoe UI"/>
            <w:color w:val="006B8F"/>
            <w:sz w:val="16"/>
            <w:szCs w:val="16"/>
            <w:lang w:eastAsia="nl-NL"/>
          </w:rPr>
          <w:t>Risk Matrix Definitions</w:t>
        </w:r>
      </w:hyperlink>
    </w:p>
    <w:p w14:paraId="11786582" w14:textId="77777777" w:rsidR="00770373" w:rsidRPr="00770373" w:rsidRDefault="00770373" w:rsidP="00770373">
      <w:pPr>
        <w:numPr>
          <w:ilvl w:val="0"/>
          <w:numId w:val="1"/>
        </w:numPr>
        <w:shd w:val="clear" w:color="auto" w:fill="FBF9F8"/>
        <w:spacing w:after="0" w:line="240" w:lineRule="auto"/>
        <w:ind w:right="240"/>
        <w:rPr>
          <w:rFonts w:ascii="Segoe UI" w:eastAsia="Times New Roman" w:hAnsi="Segoe UI" w:cs="Segoe UI"/>
          <w:color w:val="000000"/>
          <w:sz w:val="16"/>
          <w:szCs w:val="16"/>
          <w:lang w:val="en-GB" w:eastAsia="nl-NL"/>
        </w:rPr>
      </w:pPr>
      <w:hyperlink r:id="rId13" w:history="1">
        <w:r w:rsidRPr="00770373">
          <w:rPr>
            <w:rFonts w:ascii="Segoe UI" w:eastAsia="Times New Roman" w:hAnsi="Segoe UI" w:cs="Segoe UI"/>
            <w:color w:val="006B8F"/>
            <w:sz w:val="16"/>
            <w:szCs w:val="16"/>
            <w:lang w:val="en-GB" w:eastAsia="nl-NL"/>
          </w:rPr>
          <w:t>Use of Common Vulnerability Scoring System (CVSS) by Oracle</w:t>
        </w:r>
      </w:hyperlink>
    </w:p>
    <w:p w14:paraId="52DAE300" w14:textId="77777777" w:rsidR="00770373" w:rsidRPr="00770373" w:rsidRDefault="00770373" w:rsidP="00770373">
      <w:pPr>
        <w:numPr>
          <w:ilvl w:val="0"/>
          <w:numId w:val="1"/>
        </w:numPr>
        <w:shd w:val="clear" w:color="auto" w:fill="FBF9F8"/>
        <w:spacing w:after="0" w:line="240" w:lineRule="auto"/>
        <w:ind w:right="240"/>
        <w:rPr>
          <w:rFonts w:ascii="Segoe UI" w:eastAsia="Times New Roman" w:hAnsi="Segoe UI" w:cs="Segoe UI"/>
          <w:color w:val="000000"/>
          <w:sz w:val="16"/>
          <w:szCs w:val="16"/>
          <w:lang w:val="en-GB" w:eastAsia="nl-NL"/>
        </w:rPr>
      </w:pPr>
      <w:hyperlink r:id="rId14" w:history="1">
        <w:r w:rsidRPr="00770373">
          <w:rPr>
            <w:rFonts w:ascii="Segoe UI" w:eastAsia="Times New Roman" w:hAnsi="Segoe UI" w:cs="Segoe UI"/>
            <w:color w:val="006B8F"/>
            <w:sz w:val="16"/>
            <w:szCs w:val="16"/>
            <w:lang w:val="en-GB" w:eastAsia="nl-NL"/>
          </w:rPr>
          <w:t>English text version of the risk matrices</w:t>
        </w:r>
      </w:hyperlink>
    </w:p>
    <w:p w14:paraId="32434860" w14:textId="77777777" w:rsidR="00770373" w:rsidRPr="00770373" w:rsidRDefault="00770373" w:rsidP="00770373">
      <w:pPr>
        <w:numPr>
          <w:ilvl w:val="0"/>
          <w:numId w:val="1"/>
        </w:numPr>
        <w:shd w:val="clear" w:color="auto" w:fill="FBF9F8"/>
        <w:spacing w:after="0" w:line="240" w:lineRule="auto"/>
        <w:ind w:right="240"/>
        <w:rPr>
          <w:rFonts w:ascii="Segoe UI" w:eastAsia="Times New Roman" w:hAnsi="Segoe UI" w:cs="Segoe UI"/>
          <w:color w:val="000000"/>
          <w:sz w:val="16"/>
          <w:szCs w:val="16"/>
          <w:lang w:val="en-GB" w:eastAsia="nl-NL"/>
        </w:rPr>
      </w:pPr>
      <w:hyperlink r:id="rId15" w:history="1">
        <w:r w:rsidRPr="00770373">
          <w:rPr>
            <w:rFonts w:ascii="Segoe UI" w:eastAsia="Times New Roman" w:hAnsi="Segoe UI" w:cs="Segoe UI"/>
            <w:color w:val="006B8F"/>
            <w:sz w:val="16"/>
            <w:szCs w:val="16"/>
            <w:lang w:val="en-GB" w:eastAsia="nl-NL"/>
          </w:rPr>
          <w:t>CVRF XML version of the risk matrices</w:t>
        </w:r>
      </w:hyperlink>
    </w:p>
    <w:p w14:paraId="5A3C4864" w14:textId="77777777" w:rsidR="00770373" w:rsidRPr="00770373" w:rsidRDefault="00770373" w:rsidP="00770373">
      <w:pPr>
        <w:numPr>
          <w:ilvl w:val="0"/>
          <w:numId w:val="1"/>
        </w:numPr>
        <w:shd w:val="clear" w:color="auto" w:fill="FBF9F8"/>
        <w:spacing w:after="0" w:line="240" w:lineRule="auto"/>
        <w:ind w:right="240"/>
        <w:rPr>
          <w:rFonts w:ascii="Segoe UI" w:eastAsia="Times New Roman" w:hAnsi="Segoe UI" w:cs="Segoe UI"/>
          <w:color w:val="000000"/>
          <w:sz w:val="16"/>
          <w:szCs w:val="16"/>
          <w:lang w:val="en-GB" w:eastAsia="nl-NL"/>
        </w:rPr>
      </w:pPr>
      <w:hyperlink r:id="rId16" w:history="1">
        <w:r w:rsidRPr="00770373">
          <w:rPr>
            <w:rFonts w:ascii="Segoe UI" w:eastAsia="Times New Roman" w:hAnsi="Segoe UI" w:cs="Segoe UI"/>
            <w:color w:val="006B8F"/>
            <w:sz w:val="16"/>
            <w:szCs w:val="16"/>
            <w:lang w:val="en-GB" w:eastAsia="nl-NL"/>
          </w:rPr>
          <w:t>Map of CVE to Advisory/Alert</w:t>
        </w:r>
      </w:hyperlink>
    </w:p>
    <w:p w14:paraId="55B20309" w14:textId="77777777" w:rsidR="00770373" w:rsidRPr="00770373" w:rsidRDefault="00770373" w:rsidP="00770373">
      <w:pPr>
        <w:numPr>
          <w:ilvl w:val="0"/>
          <w:numId w:val="1"/>
        </w:numPr>
        <w:shd w:val="clear" w:color="auto" w:fill="FBF9F8"/>
        <w:spacing w:after="0" w:line="240" w:lineRule="auto"/>
        <w:ind w:right="240"/>
        <w:rPr>
          <w:rFonts w:ascii="Segoe UI" w:eastAsia="Times New Roman" w:hAnsi="Segoe UI" w:cs="Segoe UI"/>
          <w:color w:val="000000"/>
          <w:sz w:val="16"/>
          <w:szCs w:val="16"/>
          <w:lang w:eastAsia="nl-NL"/>
        </w:rPr>
      </w:pPr>
      <w:hyperlink r:id="rId17" w:history="1">
        <w:r w:rsidRPr="00770373">
          <w:rPr>
            <w:rFonts w:ascii="Segoe UI" w:eastAsia="Times New Roman" w:hAnsi="Segoe UI" w:cs="Segoe UI"/>
            <w:color w:val="006B8F"/>
            <w:sz w:val="16"/>
            <w:szCs w:val="16"/>
            <w:lang w:eastAsia="nl-NL"/>
          </w:rPr>
          <w:t>Oracle Lifetime support Policy</w:t>
        </w:r>
      </w:hyperlink>
    </w:p>
    <w:p w14:paraId="292B60E3" w14:textId="77777777" w:rsidR="00770373" w:rsidRPr="00770373" w:rsidRDefault="00770373" w:rsidP="00770373">
      <w:pPr>
        <w:numPr>
          <w:ilvl w:val="0"/>
          <w:numId w:val="1"/>
        </w:numPr>
        <w:shd w:val="clear" w:color="auto" w:fill="FBF9F8"/>
        <w:spacing w:after="0" w:line="240" w:lineRule="auto"/>
        <w:ind w:right="240"/>
        <w:rPr>
          <w:rFonts w:ascii="Segoe UI" w:eastAsia="Times New Roman" w:hAnsi="Segoe UI" w:cs="Segoe UI"/>
          <w:color w:val="000000"/>
          <w:sz w:val="16"/>
          <w:szCs w:val="16"/>
          <w:lang w:eastAsia="nl-NL"/>
        </w:rPr>
      </w:pPr>
      <w:hyperlink r:id="rId18" w:history="1">
        <w:r w:rsidRPr="00770373">
          <w:rPr>
            <w:rFonts w:ascii="Segoe UI" w:eastAsia="Times New Roman" w:hAnsi="Segoe UI" w:cs="Segoe UI"/>
            <w:color w:val="006B8F"/>
            <w:sz w:val="16"/>
            <w:szCs w:val="16"/>
            <w:lang w:eastAsia="nl-NL"/>
          </w:rPr>
          <w:t>JEP 290 Reference Blocklist Filter</w:t>
        </w:r>
      </w:hyperlink>
    </w:p>
    <w:p w14:paraId="0030BE88" w14:textId="77777777" w:rsidR="00770373" w:rsidRPr="00770373" w:rsidRDefault="00770373" w:rsidP="00770373">
      <w:pPr>
        <w:shd w:val="clear" w:color="auto" w:fill="FBF9F8"/>
        <w:spacing w:after="96" w:line="240" w:lineRule="auto"/>
        <w:outlineLvl w:val="2"/>
        <w:rPr>
          <w:rFonts w:ascii="Segoe UI" w:eastAsia="Times New Roman" w:hAnsi="Segoe UI" w:cs="Segoe UI"/>
          <w:b/>
          <w:bCs/>
          <w:color w:val="000000"/>
          <w:sz w:val="16"/>
          <w:szCs w:val="16"/>
          <w:lang w:eastAsia="nl-NL"/>
        </w:rPr>
      </w:pPr>
      <w:r w:rsidRPr="00770373">
        <w:rPr>
          <w:rFonts w:ascii="Segoe UI" w:eastAsia="Times New Roman" w:hAnsi="Segoe UI" w:cs="Segoe UI"/>
          <w:b/>
          <w:bCs/>
          <w:color w:val="000000"/>
          <w:sz w:val="16"/>
          <w:szCs w:val="16"/>
          <w:lang w:eastAsia="nl-NL"/>
        </w:rPr>
        <w:t>Risk Matrix Content</w:t>
      </w:r>
    </w:p>
    <w:p w14:paraId="690A279E" w14:textId="77777777" w:rsidR="00770373" w:rsidRPr="00770373" w:rsidRDefault="00770373" w:rsidP="00770373">
      <w:pPr>
        <w:shd w:val="clear" w:color="auto" w:fill="FBF9F8"/>
        <w:spacing w:after="0" w:line="240" w:lineRule="auto"/>
        <w:rPr>
          <w:rFonts w:ascii="Segoe UI" w:eastAsia="Times New Roman" w:hAnsi="Segoe UI" w:cs="Segoe UI"/>
          <w:color w:val="000000"/>
          <w:sz w:val="16"/>
          <w:szCs w:val="16"/>
          <w:lang w:val="en-GB" w:eastAsia="nl-NL"/>
        </w:rPr>
      </w:pPr>
      <w:r w:rsidRPr="00770373">
        <w:rPr>
          <w:rFonts w:ascii="Segoe UI" w:eastAsia="Times New Roman" w:hAnsi="Segoe UI" w:cs="Segoe UI"/>
          <w:color w:val="000000"/>
          <w:sz w:val="16"/>
          <w:szCs w:val="16"/>
          <w:lang w:val="en-GB" w:eastAsia="nl-NL"/>
        </w:rPr>
        <w:lastRenderedPageBreak/>
        <w:t>Risk matrices list only security vulnerabilities that are newly addressed by the patches associated with this advisory. Risk matrices for previous security patches can be found in </w:t>
      </w:r>
      <w:hyperlink r:id="rId19" w:history="1">
        <w:r w:rsidRPr="00770373">
          <w:rPr>
            <w:rFonts w:ascii="Segoe UI" w:eastAsia="Times New Roman" w:hAnsi="Segoe UI" w:cs="Segoe UI"/>
            <w:color w:val="006B8F"/>
            <w:sz w:val="16"/>
            <w:szCs w:val="16"/>
            <w:lang w:val="en-GB" w:eastAsia="nl-NL"/>
          </w:rPr>
          <w:t>previous Critical Patch Update advisories and Alerts</w:t>
        </w:r>
      </w:hyperlink>
      <w:r w:rsidRPr="00770373">
        <w:rPr>
          <w:rFonts w:ascii="Segoe UI" w:eastAsia="Times New Roman" w:hAnsi="Segoe UI" w:cs="Segoe UI"/>
          <w:color w:val="000000"/>
          <w:sz w:val="16"/>
          <w:szCs w:val="16"/>
          <w:lang w:val="en-GB" w:eastAsia="nl-NL"/>
        </w:rPr>
        <w:t>. An English text version of the risk matrices provided in this document is </w:t>
      </w:r>
      <w:hyperlink r:id="rId20" w:history="1">
        <w:r w:rsidRPr="00770373">
          <w:rPr>
            <w:rFonts w:ascii="Segoe UI" w:eastAsia="Times New Roman" w:hAnsi="Segoe UI" w:cs="Segoe UI"/>
            <w:color w:val="006B8F"/>
            <w:sz w:val="16"/>
            <w:szCs w:val="16"/>
            <w:lang w:val="en-GB" w:eastAsia="nl-NL"/>
          </w:rPr>
          <w:t>here</w:t>
        </w:r>
      </w:hyperlink>
      <w:r w:rsidRPr="00770373">
        <w:rPr>
          <w:rFonts w:ascii="Segoe UI" w:eastAsia="Times New Roman" w:hAnsi="Segoe UI" w:cs="Segoe UI"/>
          <w:color w:val="000000"/>
          <w:sz w:val="16"/>
          <w:szCs w:val="16"/>
          <w:lang w:val="en-GB" w:eastAsia="nl-NL"/>
        </w:rPr>
        <w:t>.</w:t>
      </w:r>
    </w:p>
    <w:p w14:paraId="459ECBCA" w14:textId="77777777" w:rsidR="00770373" w:rsidRPr="00770373" w:rsidRDefault="00770373" w:rsidP="00770373">
      <w:pPr>
        <w:shd w:val="clear" w:color="auto" w:fill="FBF9F8"/>
        <w:spacing w:after="0" w:line="240" w:lineRule="auto"/>
        <w:rPr>
          <w:rFonts w:ascii="Segoe UI" w:eastAsia="Times New Roman" w:hAnsi="Segoe UI" w:cs="Segoe UI"/>
          <w:color w:val="000000"/>
          <w:sz w:val="16"/>
          <w:szCs w:val="16"/>
          <w:lang w:val="en-GB" w:eastAsia="nl-NL"/>
        </w:rPr>
      </w:pPr>
      <w:r w:rsidRPr="00770373">
        <w:rPr>
          <w:rFonts w:ascii="Segoe UI" w:eastAsia="Times New Roman" w:hAnsi="Segoe UI" w:cs="Segoe UI"/>
          <w:color w:val="000000"/>
          <w:sz w:val="16"/>
          <w:szCs w:val="16"/>
          <w:lang w:val="en-GB" w:eastAsia="nl-NL"/>
        </w:rPr>
        <w:t>Security vulnerabilities are scored using CVSS version 3.1 (see </w:t>
      </w:r>
      <w:hyperlink r:id="rId21" w:history="1">
        <w:r w:rsidRPr="00770373">
          <w:rPr>
            <w:rFonts w:ascii="Segoe UI" w:eastAsia="Times New Roman" w:hAnsi="Segoe UI" w:cs="Segoe UI"/>
            <w:color w:val="006B8F"/>
            <w:sz w:val="16"/>
            <w:szCs w:val="16"/>
            <w:lang w:val="en-GB" w:eastAsia="nl-NL"/>
          </w:rPr>
          <w:t>Oracle CVSS Scoring</w:t>
        </w:r>
      </w:hyperlink>
      <w:r w:rsidRPr="00770373">
        <w:rPr>
          <w:rFonts w:ascii="Segoe UI" w:eastAsia="Times New Roman" w:hAnsi="Segoe UI" w:cs="Segoe UI"/>
          <w:color w:val="000000"/>
          <w:sz w:val="16"/>
          <w:szCs w:val="16"/>
          <w:lang w:val="en-GB" w:eastAsia="nl-NL"/>
        </w:rPr>
        <w:t> for an explanation of how Oracle applies CVSS version 3.1).</w:t>
      </w:r>
    </w:p>
    <w:p w14:paraId="77FCE21D" w14:textId="77777777" w:rsidR="00770373" w:rsidRPr="00770373" w:rsidRDefault="00770373" w:rsidP="00770373">
      <w:pPr>
        <w:shd w:val="clear" w:color="auto" w:fill="FBF9F8"/>
        <w:spacing w:after="0" w:line="240" w:lineRule="auto"/>
        <w:rPr>
          <w:rFonts w:ascii="Segoe UI" w:eastAsia="Times New Roman" w:hAnsi="Segoe UI" w:cs="Segoe UI"/>
          <w:color w:val="000000"/>
          <w:sz w:val="16"/>
          <w:szCs w:val="16"/>
          <w:lang w:val="en-GB" w:eastAsia="nl-NL"/>
        </w:rPr>
      </w:pPr>
      <w:r w:rsidRPr="00770373">
        <w:rPr>
          <w:rFonts w:ascii="Segoe UI" w:eastAsia="Times New Roman" w:hAnsi="Segoe UI" w:cs="Segoe UI"/>
          <w:color w:val="000000"/>
          <w:sz w:val="16"/>
          <w:szCs w:val="16"/>
          <w:lang w:val="en-GB" w:eastAsia="nl-NL"/>
        </w:rPr>
        <w:t>Oracle conducts an analysis of each security vulnerability addressed by a Security Alert. Oracle does not disclose detailed information about this security analysis to customers, but the resulting Risk Matrix and associated documentation provide information about the type of vulnerability, the conditions required to exploit it, and the potential impact of a successful exploit. Oracle provides this information, in part, so that customers may conduct their own risk analysis based on the particulars of their product usage. For more information, see </w:t>
      </w:r>
      <w:hyperlink r:id="rId22" w:history="1">
        <w:r w:rsidRPr="00770373">
          <w:rPr>
            <w:rFonts w:ascii="Segoe UI" w:eastAsia="Times New Roman" w:hAnsi="Segoe UI" w:cs="Segoe UI"/>
            <w:color w:val="006B8F"/>
            <w:sz w:val="16"/>
            <w:szCs w:val="16"/>
            <w:lang w:val="en-GB" w:eastAsia="nl-NL"/>
          </w:rPr>
          <w:t>Oracle vulnerability disclosure policies</w:t>
        </w:r>
      </w:hyperlink>
      <w:r w:rsidRPr="00770373">
        <w:rPr>
          <w:rFonts w:ascii="Segoe UI" w:eastAsia="Times New Roman" w:hAnsi="Segoe UI" w:cs="Segoe UI"/>
          <w:color w:val="000000"/>
          <w:sz w:val="16"/>
          <w:szCs w:val="16"/>
          <w:lang w:val="en-GB" w:eastAsia="nl-NL"/>
        </w:rPr>
        <w:t>.</w:t>
      </w:r>
    </w:p>
    <w:p w14:paraId="3B7B7BA8" w14:textId="77777777" w:rsidR="00770373" w:rsidRPr="00770373" w:rsidRDefault="00770373" w:rsidP="00770373">
      <w:pPr>
        <w:shd w:val="clear" w:color="auto" w:fill="FBF9F8"/>
        <w:spacing w:after="264" w:line="240" w:lineRule="auto"/>
        <w:rPr>
          <w:rFonts w:ascii="Segoe UI" w:eastAsia="Times New Roman" w:hAnsi="Segoe UI" w:cs="Segoe UI"/>
          <w:color w:val="000000"/>
          <w:sz w:val="16"/>
          <w:szCs w:val="16"/>
          <w:lang w:val="en-GB" w:eastAsia="nl-NL"/>
        </w:rPr>
      </w:pPr>
      <w:r w:rsidRPr="00770373">
        <w:rPr>
          <w:rFonts w:ascii="Segoe UI" w:eastAsia="Times New Roman" w:hAnsi="Segoe UI" w:cs="Segoe UI"/>
          <w:color w:val="000000"/>
          <w:sz w:val="16"/>
          <w:szCs w:val="16"/>
          <w:lang w:val="en-GB" w:eastAsia="nl-NL"/>
        </w:rPr>
        <w:t>Oracle lists updates that address vulnerabilities in third-party components that are not exploitable in the context of their inclusion in their respective Oracle product beneath the product's risk matrix.</w:t>
      </w:r>
    </w:p>
    <w:p w14:paraId="0B439F18" w14:textId="77777777" w:rsidR="00770373" w:rsidRPr="00770373" w:rsidRDefault="00770373" w:rsidP="00770373">
      <w:pPr>
        <w:shd w:val="clear" w:color="auto" w:fill="FBF9F8"/>
        <w:spacing w:after="0" w:line="240" w:lineRule="auto"/>
        <w:rPr>
          <w:rFonts w:ascii="Segoe UI" w:eastAsia="Times New Roman" w:hAnsi="Segoe UI" w:cs="Segoe UI"/>
          <w:color w:val="000000"/>
          <w:sz w:val="16"/>
          <w:szCs w:val="16"/>
          <w:lang w:val="en-GB" w:eastAsia="nl-NL"/>
        </w:rPr>
      </w:pPr>
      <w:r w:rsidRPr="00770373">
        <w:rPr>
          <w:rFonts w:ascii="Segoe UI" w:eastAsia="Times New Roman" w:hAnsi="Segoe UI" w:cs="Segoe UI"/>
          <w:color w:val="000000"/>
          <w:sz w:val="16"/>
          <w:szCs w:val="16"/>
          <w:lang w:val="en-GB" w:eastAsia="nl-NL"/>
        </w:rPr>
        <w:t>The protocol in the risk matrix implies that all of its secure variants (if applicable) are affected as well. For example, if HTTP is listed as an affected protocol, it implies that HTTPS (if applicable) is also affected. The secure variant of a protocol is listed in the risk matrix only if it is the </w:t>
      </w:r>
      <w:r w:rsidRPr="00770373">
        <w:rPr>
          <w:rFonts w:ascii="Segoe UI" w:eastAsia="Times New Roman" w:hAnsi="Segoe UI" w:cs="Segoe UI"/>
          <w:i/>
          <w:iCs/>
          <w:color w:val="000000"/>
          <w:sz w:val="16"/>
          <w:szCs w:val="16"/>
          <w:lang w:val="en-GB" w:eastAsia="nl-NL"/>
        </w:rPr>
        <w:t>only</w:t>
      </w:r>
      <w:r w:rsidRPr="00770373">
        <w:rPr>
          <w:rFonts w:ascii="Segoe UI" w:eastAsia="Times New Roman" w:hAnsi="Segoe UI" w:cs="Segoe UI"/>
          <w:color w:val="000000"/>
          <w:sz w:val="16"/>
          <w:szCs w:val="16"/>
          <w:lang w:val="en-GB" w:eastAsia="nl-NL"/>
        </w:rPr>
        <w:t> variant affected, e.g. HTTPS will typically be listed for vulnerabilities in SSL and TLS.</w:t>
      </w:r>
    </w:p>
    <w:p w14:paraId="3C3B2500" w14:textId="77777777" w:rsidR="00770373" w:rsidRPr="00770373" w:rsidRDefault="00770373" w:rsidP="00770373">
      <w:pPr>
        <w:shd w:val="clear" w:color="auto" w:fill="FBF9F8"/>
        <w:spacing w:after="96" w:line="240" w:lineRule="auto"/>
        <w:outlineLvl w:val="2"/>
        <w:rPr>
          <w:rFonts w:ascii="Segoe UI" w:eastAsia="Times New Roman" w:hAnsi="Segoe UI" w:cs="Segoe UI"/>
          <w:b/>
          <w:bCs/>
          <w:color w:val="000000"/>
          <w:sz w:val="16"/>
          <w:szCs w:val="16"/>
          <w:lang w:val="en-GB" w:eastAsia="nl-NL"/>
        </w:rPr>
      </w:pPr>
      <w:r w:rsidRPr="00770373">
        <w:rPr>
          <w:rFonts w:ascii="Segoe UI" w:eastAsia="Times New Roman" w:hAnsi="Segoe UI" w:cs="Segoe UI"/>
          <w:b/>
          <w:bCs/>
          <w:color w:val="000000"/>
          <w:sz w:val="16"/>
          <w:szCs w:val="16"/>
          <w:lang w:val="en-GB" w:eastAsia="nl-NL"/>
        </w:rPr>
        <w:t>Credit Statement</w:t>
      </w:r>
    </w:p>
    <w:p w14:paraId="44073D34" w14:textId="77777777" w:rsidR="00770373" w:rsidRPr="00770373" w:rsidRDefault="00770373" w:rsidP="00770373">
      <w:pPr>
        <w:shd w:val="clear" w:color="auto" w:fill="FBF9F8"/>
        <w:spacing w:after="264" w:line="240" w:lineRule="auto"/>
        <w:rPr>
          <w:rFonts w:ascii="Segoe UI" w:eastAsia="Times New Roman" w:hAnsi="Segoe UI" w:cs="Segoe UI"/>
          <w:color w:val="000000"/>
          <w:sz w:val="16"/>
          <w:szCs w:val="16"/>
          <w:lang w:val="en-GB" w:eastAsia="nl-NL"/>
        </w:rPr>
      </w:pPr>
      <w:r w:rsidRPr="00770373">
        <w:rPr>
          <w:rFonts w:ascii="Segoe UI" w:eastAsia="Times New Roman" w:hAnsi="Segoe UI" w:cs="Segoe UI"/>
          <w:color w:val="000000"/>
          <w:sz w:val="16"/>
          <w:szCs w:val="16"/>
          <w:lang w:val="en-GB" w:eastAsia="nl-NL"/>
        </w:rPr>
        <w:t>The following people or organizations reported security vulnerabilities addressed by this Security Alert to Oracle: None credited in this Security Alert.</w:t>
      </w:r>
    </w:p>
    <w:p w14:paraId="64C3C350" w14:textId="77777777" w:rsidR="00770373" w:rsidRPr="00770373" w:rsidRDefault="00770373" w:rsidP="00770373">
      <w:pPr>
        <w:shd w:val="clear" w:color="auto" w:fill="FBF9F8"/>
        <w:spacing w:after="96" w:line="240" w:lineRule="auto"/>
        <w:outlineLvl w:val="2"/>
        <w:rPr>
          <w:rFonts w:ascii="Segoe UI" w:eastAsia="Times New Roman" w:hAnsi="Segoe UI" w:cs="Segoe UI"/>
          <w:b/>
          <w:bCs/>
          <w:color w:val="000000"/>
          <w:sz w:val="16"/>
          <w:szCs w:val="16"/>
          <w:lang w:eastAsia="nl-NL"/>
        </w:rPr>
      </w:pPr>
      <w:r w:rsidRPr="00770373">
        <w:rPr>
          <w:rFonts w:ascii="Segoe UI" w:eastAsia="Times New Roman" w:hAnsi="Segoe UI" w:cs="Segoe UI"/>
          <w:b/>
          <w:bCs/>
          <w:color w:val="000000"/>
          <w:sz w:val="16"/>
          <w:szCs w:val="16"/>
          <w:lang w:eastAsia="nl-NL"/>
        </w:rPr>
        <w:t>Modification History</w:t>
      </w:r>
    </w:p>
    <w:tbl>
      <w:tblPr>
        <w:tblW w:w="0" w:type="auto"/>
        <w:tblBorders>
          <w:top w:val="single" w:sz="6" w:space="0" w:color="7A736E"/>
          <w:left w:val="single" w:sz="6" w:space="0" w:color="7A736E"/>
          <w:bottom w:val="single" w:sz="6" w:space="0" w:color="7A736E"/>
          <w:right w:val="single" w:sz="6" w:space="0" w:color="7A736E"/>
        </w:tblBorders>
        <w:tblCellMar>
          <w:left w:w="0" w:type="dxa"/>
          <w:right w:w="0" w:type="dxa"/>
        </w:tblCellMar>
        <w:tblLook w:val="04A0" w:firstRow="1" w:lastRow="0" w:firstColumn="1" w:lastColumn="0" w:noHBand="0" w:noVBand="1"/>
      </w:tblPr>
      <w:tblGrid>
        <w:gridCol w:w="1388"/>
        <w:gridCol w:w="3415"/>
      </w:tblGrid>
      <w:tr w:rsidR="00770373" w:rsidRPr="00770373" w14:paraId="516BCC11" w14:textId="77777777" w:rsidTr="003C48EC">
        <w:trPr>
          <w:tblHeader/>
        </w:trPr>
        <w:tc>
          <w:tcPr>
            <w:tcW w:w="0" w:type="auto"/>
            <w:tcBorders>
              <w:top w:val="single" w:sz="6" w:space="0" w:color="8B8580"/>
              <w:left w:val="single" w:sz="6" w:space="0" w:color="8B8580"/>
              <w:bottom w:val="single" w:sz="6" w:space="0" w:color="7A736E"/>
              <w:right w:val="single" w:sz="6" w:space="0" w:color="8B8580"/>
            </w:tcBorders>
            <w:shd w:val="clear" w:color="auto" w:fill="E1DDDA"/>
            <w:tcMar>
              <w:top w:w="72" w:type="dxa"/>
              <w:left w:w="72" w:type="dxa"/>
              <w:bottom w:w="72" w:type="dxa"/>
              <w:right w:w="72" w:type="dxa"/>
            </w:tcMar>
            <w:vAlign w:val="center"/>
            <w:hideMark/>
          </w:tcPr>
          <w:p w14:paraId="4528C295" w14:textId="77777777" w:rsidR="00770373" w:rsidRPr="00770373" w:rsidRDefault="00770373" w:rsidP="00770373">
            <w:pPr>
              <w:spacing w:after="0" w:line="240" w:lineRule="auto"/>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Date</w:t>
            </w:r>
          </w:p>
        </w:tc>
        <w:tc>
          <w:tcPr>
            <w:tcW w:w="0" w:type="auto"/>
            <w:tcBorders>
              <w:top w:val="single" w:sz="6" w:space="0" w:color="8B8580"/>
              <w:left w:val="single" w:sz="6" w:space="0" w:color="8B8580"/>
              <w:bottom w:val="single" w:sz="6" w:space="0" w:color="8B8580"/>
              <w:right w:val="single" w:sz="6" w:space="0" w:color="8B8580"/>
            </w:tcBorders>
            <w:shd w:val="clear" w:color="auto" w:fill="E1DDDA"/>
            <w:tcMar>
              <w:top w:w="72" w:type="dxa"/>
              <w:left w:w="72" w:type="dxa"/>
              <w:bottom w:w="72" w:type="dxa"/>
              <w:right w:w="72" w:type="dxa"/>
            </w:tcMar>
            <w:vAlign w:val="center"/>
            <w:hideMark/>
          </w:tcPr>
          <w:p w14:paraId="47BDA4E5" w14:textId="77777777" w:rsidR="00770373" w:rsidRPr="00770373" w:rsidRDefault="00770373" w:rsidP="00770373">
            <w:pPr>
              <w:spacing w:after="0" w:line="240" w:lineRule="auto"/>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Note</w:t>
            </w:r>
          </w:p>
        </w:tc>
      </w:tr>
      <w:tr w:rsidR="00770373" w:rsidRPr="00770373" w14:paraId="2BFCBA0A" w14:textId="77777777" w:rsidTr="003C48EC">
        <w:tc>
          <w:tcPr>
            <w:tcW w:w="0" w:type="auto"/>
            <w:tcBorders>
              <w:top w:val="single" w:sz="6" w:space="0" w:color="8B8580"/>
              <w:left w:val="single" w:sz="6" w:space="0" w:color="8B8580"/>
              <w:bottom w:val="single" w:sz="6" w:space="0" w:color="8B8580"/>
              <w:right w:val="single" w:sz="6" w:space="0" w:color="8B8580"/>
            </w:tcBorders>
            <w:shd w:val="clear" w:color="auto" w:fill="FFFFFF"/>
            <w:tcMar>
              <w:top w:w="72" w:type="dxa"/>
              <w:left w:w="72" w:type="dxa"/>
              <w:bottom w:w="72" w:type="dxa"/>
              <w:right w:w="72" w:type="dxa"/>
            </w:tcMar>
            <w:vAlign w:val="center"/>
            <w:hideMark/>
          </w:tcPr>
          <w:p w14:paraId="2F809114" w14:textId="77777777" w:rsidR="00770373" w:rsidRPr="00770373" w:rsidRDefault="00770373" w:rsidP="00770373">
            <w:pPr>
              <w:spacing w:after="0" w:line="240" w:lineRule="auto"/>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2020-Decmber-17</w:t>
            </w:r>
          </w:p>
        </w:tc>
        <w:tc>
          <w:tcPr>
            <w:tcW w:w="0" w:type="auto"/>
            <w:tcBorders>
              <w:top w:val="single" w:sz="6" w:space="0" w:color="8B8580"/>
              <w:left w:val="single" w:sz="6" w:space="0" w:color="8B8580"/>
              <w:bottom w:val="single" w:sz="6" w:space="0" w:color="8B8580"/>
              <w:right w:val="single" w:sz="6" w:space="0" w:color="8B8580"/>
            </w:tcBorders>
            <w:shd w:val="clear" w:color="auto" w:fill="FFFFFF"/>
            <w:tcMar>
              <w:top w:w="72" w:type="dxa"/>
              <w:left w:w="72" w:type="dxa"/>
              <w:bottom w:w="72" w:type="dxa"/>
              <w:right w:w="72" w:type="dxa"/>
            </w:tcMar>
            <w:vAlign w:val="center"/>
            <w:hideMark/>
          </w:tcPr>
          <w:p w14:paraId="724A6B21" w14:textId="77777777" w:rsidR="00770373" w:rsidRPr="00770373" w:rsidRDefault="00770373" w:rsidP="00770373">
            <w:pPr>
              <w:spacing w:after="0" w:line="240" w:lineRule="auto"/>
              <w:rPr>
                <w:rFonts w:ascii="Times New Roman" w:eastAsia="Times New Roman" w:hAnsi="Times New Roman" w:cs="Times New Roman"/>
                <w:color w:val="161513"/>
                <w:sz w:val="16"/>
                <w:szCs w:val="16"/>
                <w:lang w:val="en-GB" w:eastAsia="nl-NL"/>
              </w:rPr>
            </w:pPr>
            <w:r w:rsidRPr="00770373">
              <w:rPr>
                <w:rFonts w:ascii="Times New Roman" w:eastAsia="Times New Roman" w:hAnsi="Times New Roman" w:cs="Times New Roman"/>
                <w:color w:val="161513"/>
                <w:sz w:val="16"/>
                <w:szCs w:val="16"/>
                <w:lang w:val="en-GB" w:eastAsia="nl-NL"/>
              </w:rPr>
              <w:t>Rev 3. Updated CVSS score for CVE-2021-45046.</w:t>
            </w:r>
          </w:p>
        </w:tc>
      </w:tr>
      <w:tr w:rsidR="00770373" w:rsidRPr="00770373" w14:paraId="4E5E9EAF" w14:textId="77777777" w:rsidTr="003C48EC">
        <w:tc>
          <w:tcPr>
            <w:tcW w:w="0" w:type="auto"/>
            <w:tcBorders>
              <w:top w:val="single" w:sz="6" w:space="0" w:color="8B8580"/>
              <w:left w:val="single" w:sz="6" w:space="0" w:color="8B8580"/>
              <w:bottom w:val="single" w:sz="6" w:space="0" w:color="8B8580"/>
              <w:right w:val="single" w:sz="6" w:space="0" w:color="8B8580"/>
            </w:tcBorders>
            <w:shd w:val="clear" w:color="auto" w:fill="FFFFFF"/>
            <w:tcMar>
              <w:top w:w="72" w:type="dxa"/>
              <w:left w:w="72" w:type="dxa"/>
              <w:bottom w:w="72" w:type="dxa"/>
              <w:right w:w="72" w:type="dxa"/>
            </w:tcMar>
            <w:vAlign w:val="center"/>
            <w:hideMark/>
          </w:tcPr>
          <w:p w14:paraId="1979DE96" w14:textId="77777777" w:rsidR="00770373" w:rsidRPr="00770373" w:rsidRDefault="00770373" w:rsidP="00770373">
            <w:pPr>
              <w:spacing w:after="0" w:line="240" w:lineRule="auto"/>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2021-December-15</w:t>
            </w:r>
          </w:p>
        </w:tc>
        <w:tc>
          <w:tcPr>
            <w:tcW w:w="0" w:type="auto"/>
            <w:tcBorders>
              <w:top w:val="single" w:sz="6" w:space="0" w:color="8B8580"/>
              <w:left w:val="single" w:sz="6" w:space="0" w:color="8B8580"/>
              <w:bottom w:val="single" w:sz="6" w:space="0" w:color="8B8580"/>
              <w:right w:val="single" w:sz="6" w:space="0" w:color="8B8580"/>
            </w:tcBorders>
            <w:shd w:val="clear" w:color="auto" w:fill="FFFFFF"/>
            <w:tcMar>
              <w:top w:w="72" w:type="dxa"/>
              <w:left w:w="72" w:type="dxa"/>
              <w:bottom w:w="72" w:type="dxa"/>
              <w:right w:w="72" w:type="dxa"/>
            </w:tcMar>
            <w:vAlign w:val="center"/>
            <w:hideMark/>
          </w:tcPr>
          <w:p w14:paraId="735CE8DF" w14:textId="77777777" w:rsidR="00770373" w:rsidRPr="00770373" w:rsidRDefault="00770373" w:rsidP="00770373">
            <w:pPr>
              <w:spacing w:after="0" w:line="240" w:lineRule="auto"/>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Rev 2. Added CVE-2021-45046.</w:t>
            </w:r>
          </w:p>
        </w:tc>
      </w:tr>
      <w:tr w:rsidR="00770373" w:rsidRPr="00770373" w14:paraId="0AF74603" w14:textId="77777777" w:rsidTr="003C48EC">
        <w:tc>
          <w:tcPr>
            <w:tcW w:w="0" w:type="auto"/>
            <w:tcBorders>
              <w:top w:val="single" w:sz="6" w:space="0" w:color="8B8580"/>
              <w:left w:val="single" w:sz="6" w:space="0" w:color="8B8580"/>
              <w:bottom w:val="single" w:sz="6" w:space="0" w:color="8B8580"/>
              <w:right w:val="single" w:sz="6" w:space="0" w:color="8B8580"/>
            </w:tcBorders>
            <w:shd w:val="clear" w:color="auto" w:fill="FFFFFF"/>
            <w:tcMar>
              <w:top w:w="72" w:type="dxa"/>
              <w:left w:w="72" w:type="dxa"/>
              <w:bottom w:w="72" w:type="dxa"/>
              <w:right w:w="72" w:type="dxa"/>
            </w:tcMar>
            <w:vAlign w:val="center"/>
            <w:hideMark/>
          </w:tcPr>
          <w:p w14:paraId="1EFA7A2A" w14:textId="77777777" w:rsidR="00770373" w:rsidRPr="00770373" w:rsidRDefault="00770373" w:rsidP="00770373">
            <w:pPr>
              <w:spacing w:after="0" w:line="240" w:lineRule="auto"/>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2021-December-10</w:t>
            </w:r>
          </w:p>
        </w:tc>
        <w:tc>
          <w:tcPr>
            <w:tcW w:w="0" w:type="auto"/>
            <w:tcBorders>
              <w:top w:val="single" w:sz="6" w:space="0" w:color="8B8580"/>
              <w:left w:val="single" w:sz="6" w:space="0" w:color="8B8580"/>
              <w:bottom w:val="single" w:sz="6" w:space="0" w:color="8B8580"/>
              <w:right w:val="single" w:sz="6" w:space="0" w:color="8B8580"/>
            </w:tcBorders>
            <w:shd w:val="clear" w:color="auto" w:fill="FFFFFF"/>
            <w:tcMar>
              <w:top w:w="72" w:type="dxa"/>
              <w:left w:w="72" w:type="dxa"/>
              <w:bottom w:w="72" w:type="dxa"/>
              <w:right w:w="72" w:type="dxa"/>
            </w:tcMar>
            <w:vAlign w:val="center"/>
            <w:hideMark/>
          </w:tcPr>
          <w:p w14:paraId="0A2D67E4" w14:textId="77777777" w:rsidR="00770373" w:rsidRPr="00770373" w:rsidRDefault="00770373" w:rsidP="00770373">
            <w:pPr>
              <w:spacing w:after="0" w:line="240" w:lineRule="auto"/>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Rev 1. Initial Release.</w:t>
            </w:r>
          </w:p>
        </w:tc>
      </w:tr>
    </w:tbl>
    <w:p w14:paraId="4B458CB3" w14:textId="77777777" w:rsidR="00770373" w:rsidRPr="00770373" w:rsidRDefault="00770373" w:rsidP="00770373">
      <w:pPr>
        <w:shd w:val="clear" w:color="auto" w:fill="FBF9F8"/>
        <w:spacing w:line="240" w:lineRule="auto"/>
        <w:rPr>
          <w:rFonts w:ascii="Segoe UI" w:eastAsia="Times New Roman" w:hAnsi="Segoe UI" w:cs="Segoe UI"/>
          <w:vanish/>
          <w:color w:val="000000"/>
          <w:sz w:val="16"/>
          <w:szCs w:val="16"/>
          <w:lang w:eastAsia="nl-NL"/>
        </w:rPr>
      </w:pPr>
    </w:p>
    <w:p w14:paraId="4DD92881" w14:textId="6C78C69C" w:rsidR="00770373" w:rsidRPr="00770373" w:rsidRDefault="00770373" w:rsidP="00770373">
      <w:pPr>
        <w:spacing w:after="0" w:line="240" w:lineRule="auto"/>
        <w:rPr>
          <w:rFonts w:ascii="Times New Roman" w:eastAsia="Times New Roman" w:hAnsi="Times New Roman" w:cs="Times New Roman"/>
          <w:sz w:val="16"/>
          <w:szCs w:val="16"/>
          <w:lang w:eastAsia="nl-NL"/>
        </w:rPr>
      </w:pPr>
      <w:r w:rsidRPr="00770373">
        <w:rPr>
          <w:rFonts w:ascii="Segoe UI" w:eastAsia="Times New Roman" w:hAnsi="Segoe UI" w:cs="Segoe UI"/>
          <w:color w:val="000000"/>
          <w:sz w:val="16"/>
          <w:szCs w:val="16"/>
          <w:shd w:val="clear" w:color="auto" w:fill="FBF9F8"/>
          <w:lang w:eastAsia="nl-NL"/>
        </w:rPr>
        <w:t> </w:t>
      </w:r>
    </w:p>
    <w:p w14:paraId="1EF3B714" w14:textId="77777777" w:rsidR="00770373" w:rsidRPr="00770373" w:rsidRDefault="00770373" w:rsidP="00770373">
      <w:pPr>
        <w:shd w:val="clear" w:color="auto" w:fill="FBF9F8"/>
        <w:spacing w:after="96" w:line="240" w:lineRule="auto"/>
        <w:outlineLvl w:val="3"/>
        <w:rPr>
          <w:rFonts w:ascii="Segoe UI" w:eastAsia="Times New Roman" w:hAnsi="Segoe UI" w:cs="Segoe UI"/>
          <w:b/>
          <w:bCs/>
          <w:color w:val="000000"/>
          <w:sz w:val="16"/>
          <w:szCs w:val="16"/>
          <w:lang w:eastAsia="nl-NL"/>
        </w:rPr>
      </w:pPr>
      <w:r w:rsidRPr="00770373">
        <w:rPr>
          <w:rFonts w:ascii="Segoe UI" w:eastAsia="Times New Roman" w:hAnsi="Segoe UI" w:cs="Segoe UI"/>
          <w:b/>
          <w:bCs/>
          <w:color w:val="000000"/>
          <w:sz w:val="16"/>
          <w:szCs w:val="16"/>
          <w:lang w:eastAsia="nl-NL"/>
        </w:rPr>
        <w:t>Third Party Component Risk Matrix</w:t>
      </w:r>
    </w:p>
    <w:p w14:paraId="06C3486B" w14:textId="77777777" w:rsidR="00770373" w:rsidRPr="00770373" w:rsidRDefault="00770373" w:rsidP="00770373">
      <w:pPr>
        <w:shd w:val="clear" w:color="auto" w:fill="FBF9F8"/>
        <w:spacing w:after="0" w:line="240" w:lineRule="auto"/>
        <w:rPr>
          <w:rFonts w:ascii="Segoe UI" w:eastAsia="Times New Roman" w:hAnsi="Segoe UI" w:cs="Segoe UI"/>
          <w:color w:val="000000"/>
          <w:sz w:val="16"/>
          <w:szCs w:val="16"/>
          <w:lang w:val="en-GB" w:eastAsia="nl-NL"/>
        </w:rPr>
      </w:pPr>
      <w:r w:rsidRPr="00770373">
        <w:rPr>
          <w:rFonts w:ascii="Segoe UI" w:eastAsia="Times New Roman" w:hAnsi="Segoe UI" w:cs="Segoe UI"/>
          <w:color w:val="000000"/>
          <w:sz w:val="16"/>
          <w:szCs w:val="16"/>
          <w:lang w:val="en-GB" w:eastAsia="nl-NL"/>
        </w:rPr>
        <w:t>This Security Alert contains 2 new security patches for Third Party Component.  Both of these vulnerabilities may be remotely exploitable without authentication, i.e., may be exploited over a network without requiring user credentials.  The English text form of this Risk Matrix can be found </w:t>
      </w:r>
      <w:hyperlink r:id="rId23" w:anchor="3RD" w:history="1">
        <w:r w:rsidRPr="00770373">
          <w:rPr>
            <w:rFonts w:ascii="Segoe UI" w:eastAsia="Times New Roman" w:hAnsi="Segoe UI" w:cs="Segoe UI"/>
            <w:color w:val="006B8F"/>
            <w:sz w:val="16"/>
            <w:szCs w:val="16"/>
            <w:lang w:val="en-GB" w:eastAsia="nl-NL"/>
          </w:rPr>
          <w:t>here.</w:t>
        </w:r>
      </w:hyperlink>
    </w:p>
    <w:tbl>
      <w:tblPr>
        <w:tblW w:w="0" w:type="auto"/>
        <w:tblBorders>
          <w:top w:val="single" w:sz="6" w:space="0" w:color="7A736E"/>
          <w:left w:val="single" w:sz="6" w:space="0" w:color="7A736E"/>
          <w:bottom w:val="single" w:sz="6" w:space="0" w:color="7A736E"/>
          <w:right w:val="single" w:sz="6" w:space="0" w:color="7A736E"/>
        </w:tblBorders>
        <w:tblCellMar>
          <w:left w:w="0" w:type="dxa"/>
          <w:right w:w="0" w:type="dxa"/>
        </w:tblCellMar>
        <w:tblLook w:val="04A0" w:firstRow="1" w:lastRow="0" w:firstColumn="1" w:lastColumn="0" w:noHBand="0" w:noVBand="1"/>
      </w:tblPr>
      <w:tblGrid>
        <w:gridCol w:w="1309"/>
        <w:gridCol w:w="1055"/>
        <w:gridCol w:w="945"/>
        <w:gridCol w:w="722"/>
        <w:gridCol w:w="669"/>
        <w:gridCol w:w="527"/>
        <w:gridCol w:w="704"/>
        <w:gridCol w:w="758"/>
        <w:gridCol w:w="553"/>
        <w:gridCol w:w="695"/>
        <w:gridCol w:w="713"/>
        <w:gridCol w:w="704"/>
        <w:gridCol w:w="473"/>
        <w:gridCol w:w="580"/>
        <w:gridCol w:w="2118"/>
        <w:gridCol w:w="527"/>
      </w:tblGrid>
      <w:tr w:rsidR="00770373" w:rsidRPr="00770373" w14:paraId="3E2D3D96" w14:textId="77777777" w:rsidTr="003C48EC">
        <w:trPr>
          <w:tblHeader/>
        </w:trPr>
        <w:tc>
          <w:tcPr>
            <w:tcW w:w="0" w:type="auto"/>
            <w:vMerge w:val="restart"/>
            <w:tcBorders>
              <w:top w:val="single" w:sz="6" w:space="0" w:color="8B8580"/>
              <w:left w:val="single" w:sz="6" w:space="0" w:color="8B8580"/>
              <w:bottom w:val="single" w:sz="6" w:space="0" w:color="7A736E"/>
              <w:right w:val="single" w:sz="6" w:space="0" w:color="8B8580"/>
            </w:tcBorders>
            <w:shd w:val="clear" w:color="auto" w:fill="auto"/>
            <w:tcMar>
              <w:top w:w="72" w:type="dxa"/>
              <w:left w:w="72" w:type="dxa"/>
              <w:bottom w:w="72" w:type="dxa"/>
              <w:right w:w="72" w:type="dxa"/>
            </w:tcMar>
            <w:vAlign w:val="center"/>
            <w:hideMark/>
          </w:tcPr>
          <w:p w14:paraId="0CBDF5A9"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CVE#</w:t>
            </w:r>
          </w:p>
        </w:tc>
        <w:tc>
          <w:tcPr>
            <w:tcW w:w="0" w:type="auto"/>
            <w:vMerge w:val="restart"/>
            <w:tcBorders>
              <w:top w:val="single" w:sz="6" w:space="0" w:color="8B8580"/>
              <w:left w:val="single" w:sz="6" w:space="0" w:color="8B8580"/>
              <w:bottom w:val="single" w:sz="6" w:space="0" w:color="8B8580"/>
              <w:right w:val="single" w:sz="6" w:space="0" w:color="8B8580"/>
            </w:tcBorders>
            <w:shd w:val="clear" w:color="auto" w:fill="auto"/>
            <w:tcMar>
              <w:top w:w="72" w:type="dxa"/>
              <w:left w:w="72" w:type="dxa"/>
              <w:bottom w:w="72" w:type="dxa"/>
              <w:right w:w="72" w:type="dxa"/>
            </w:tcMar>
            <w:vAlign w:val="center"/>
            <w:hideMark/>
          </w:tcPr>
          <w:p w14:paraId="6E85FE21"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Product</w:t>
            </w:r>
          </w:p>
        </w:tc>
        <w:tc>
          <w:tcPr>
            <w:tcW w:w="0" w:type="auto"/>
            <w:vMerge w:val="restart"/>
            <w:tcBorders>
              <w:top w:val="single" w:sz="6" w:space="0" w:color="8B8580"/>
              <w:left w:val="single" w:sz="6" w:space="0" w:color="8B8580"/>
              <w:bottom w:val="single" w:sz="6" w:space="0" w:color="8B8580"/>
              <w:right w:val="single" w:sz="6" w:space="0" w:color="8B8580"/>
            </w:tcBorders>
            <w:shd w:val="clear" w:color="auto" w:fill="auto"/>
            <w:tcMar>
              <w:top w:w="72" w:type="dxa"/>
              <w:left w:w="72" w:type="dxa"/>
              <w:bottom w:w="72" w:type="dxa"/>
              <w:right w:w="72" w:type="dxa"/>
            </w:tcMar>
            <w:vAlign w:val="center"/>
            <w:hideMark/>
          </w:tcPr>
          <w:p w14:paraId="2573187F"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Component</w:t>
            </w:r>
          </w:p>
        </w:tc>
        <w:tc>
          <w:tcPr>
            <w:tcW w:w="0" w:type="auto"/>
            <w:vMerge w:val="restart"/>
            <w:tcBorders>
              <w:top w:val="single" w:sz="6" w:space="0" w:color="8B8580"/>
              <w:left w:val="single" w:sz="6" w:space="0" w:color="8B8580"/>
              <w:bottom w:val="single" w:sz="6" w:space="0" w:color="8B8580"/>
              <w:right w:val="single" w:sz="6" w:space="0" w:color="8B8580"/>
            </w:tcBorders>
            <w:shd w:val="clear" w:color="auto" w:fill="auto"/>
            <w:tcMar>
              <w:top w:w="72" w:type="dxa"/>
              <w:left w:w="72" w:type="dxa"/>
              <w:bottom w:w="72" w:type="dxa"/>
              <w:right w:w="72" w:type="dxa"/>
            </w:tcMar>
            <w:vAlign w:val="center"/>
            <w:hideMark/>
          </w:tcPr>
          <w:p w14:paraId="4B7F982D"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Protocol</w:t>
            </w:r>
          </w:p>
        </w:tc>
        <w:tc>
          <w:tcPr>
            <w:tcW w:w="0" w:type="auto"/>
            <w:vMerge w:val="restart"/>
            <w:tcBorders>
              <w:top w:val="single" w:sz="6" w:space="0" w:color="8B8580"/>
              <w:left w:val="single" w:sz="6" w:space="0" w:color="8B8580"/>
              <w:bottom w:val="single" w:sz="6" w:space="0" w:color="8B8580"/>
              <w:right w:val="single" w:sz="6" w:space="0" w:color="8B8580"/>
            </w:tcBorders>
            <w:shd w:val="clear" w:color="auto" w:fill="auto"/>
            <w:tcMar>
              <w:top w:w="72" w:type="dxa"/>
              <w:left w:w="72" w:type="dxa"/>
              <w:bottom w:w="72" w:type="dxa"/>
              <w:right w:w="72" w:type="dxa"/>
            </w:tcMar>
            <w:vAlign w:val="center"/>
            <w:hideMark/>
          </w:tcPr>
          <w:p w14:paraId="78FDE098"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Remote</w:t>
            </w:r>
            <w:r w:rsidRPr="00770373">
              <w:rPr>
                <w:rFonts w:ascii="Times New Roman" w:eastAsia="Times New Roman" w:hAnsi="Times New Roman" w:cs="Times New Roman"/>
                <w:b/>
                <w:bCs/>
                <w:sz w:val="16"/>
                <w:szCs w:val="16"/>
                <w:lang w:eastAsia="nl-NL"/>
              </w:rPr>
              <w:br/>
              <w:t>Exploit</w:t>
            </w:r>
            <w:r w:rsidRPr="00770373">
              <w:rPr>
                <w:rFonts w:ascii="Times New Roman" w:eastAsia="Times New Roman" w:hAnsi="Times New Roman" w:cs="Times New Roman"/>
                <w:b/>
                <w:bCs/>
                <w:sz w:val="16"/>
                <w:szCs w:val="16"/>
                <w:lang w:eastAsia="nl-NL"/>
              </w:rPr>
              <w:br/>
              <w:t>without</w:t>
            </w:r>
            <w:r w:rsidRPr="00770373">
              <w:rPr>
                <w:rFonts w:ascii="Times New Roman" w:eastAsia="Times New Roman" w:hAnsi="Times New Roman" w:cs="Times New Roman"/>
                <w:b/>
                <w:bCs/>
                <w:sz w:val="16"/>
                <w:szCs w:val="16"/>
                <w:lang w:eastAsia="nl-NL"/>
              </w:rPr>
              <w:br/>
              <w:t>Auth.?</w:t>
            </w:r>
          </w:p>
        </w:tc>
        <w:tc>
          <w:tcPr>
            <w:tcW w:w="0" w:type="auto"/>
            <w:gridSpan w:val="9"/>
            <w:tcBorders>
              <w:top w:val="single" w:sz="6" w:space="0" w:color="8B8580"/>
              <w:left w:val="single" w:sz="6" w:space="0" w:color="8B8580"/>
              <w:bottom w:val="single" w:sz="6" w:space="0" w:color="8B8580"/>
              <w:right w:val="single" w:sz="6" w:space="0" w:color="8B8580"/>
            </w:tcBorders>
            <w:shd w:val="clear" w:color="auto" w:fill="auto"/>
            <w:tcMar>
              <w:top w:w="72" w:type="dxa"/>
              <w:left w:w="72" w:type="dxa"/>
              <w:bottom w:w="72" w:type="dxa"/>
              <w:right w:w="72" w:type="dxa"/>
            </w:tcMar>
            <w:vAlign w:val="center"/>
            <w:hideMark/>
          </w:tcPr>
          <w:p w14:paraId="3E9E16CA"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val="en-GB" w:eastAsia="nl-NL"/>
              </w:rPr>
            </w:pPr>
            <w:r w:rsidRPr="00770373">
              <w:rPr>
                <w:rFonts w:ascii="Times New Roman" w:eastAsia="Times New Roman" w:hAnsi="Times New Roman" w:cs="Times New Roman"/>
                <w:b/>
                <w:bCs/>
                <w:sz w:val="16"/>
                <w:szCs w:val="16"/>
                <w:lang w:val="en-GB" w:eastAsia="nl-NL"/>
              </w:rPr>
              <w:t>CVSS VERSION 3.1 RISK (see </w:t>
            </w:r>
            <w:hyperlink r:id="rId24" w:tgtFrame="_blank" w:history="1">
              <w:r w:rsidRPr="00770373">
                <w:rPr>
                  <w:rFonts w:ascii="Times New Roman" w:eastAsia="Times New Roman" w:hAnsi="Times New Roman" w:cs="Times New Roman"/>
                  <w:b/>
                  <w:bCs/>
                  <w:color w:val="006B8F"/>
                  <w:sz w:val="16"/>
                  <w:szCs w:val="16"/>
                  <w:lang w:val="en-GB" w:eastAsia="nl-NL"/>
                </w:rPr>
                <w:t>Risk Matrix Definitions</w:t>
              </w:r>
            </w:hyperlink>
            <w:r w:rsidRPr="00770373">
              <w:rPr>
                <w:rFonts w:ascii="Times New Roman" w:eastAsia="Times New Roman" w:hAnsi="Times New Roman" w:cs="Times New Roman"/>
                <w:b/>
                <w:bCs/>
                <w:sz w:val="16"/>
                <w:szCs w:val="16"/>
                <w:lang w:val="en-GB" w:eastAsia="nl-NL"/>
              </w:rPr>
              <w:t>)</w:t>
            </w:r>
          </w:p>
        </w:tc>
        <w:tc>
          <w:tcPr>
            <w:tcW w:w="0" w:type="auto"/>
            <w:vMerge w:val="restart"/>
            <w:tcBorders>
              <w:top w:val="single" w:sz="6" w:space="0" w:color="8B8580"/>
              <w:left w:val="single" w:sz="6" w:space="0" w:color="8B8580"/>
              <w:bottom w:val="single" w:sz="6" w:space="0" w:color="8B8580"/>
              <w:right w:val="single" w:sz="6" w:space="0" w:color="8B8580"/>
            </w:tcBorders>
            <w:shd w:val="clear" w:color="auto" w:fill="auto"/>
            <w:tcMar>
              <w:top w:w="72" w:type="dxa"/>
              <w:left w:w="72" w:type="dxa"/>
              <w:bottom w:w="72" w:type="dxa"/>
              <w:right w:w="72" w:type="dxa"/>
            </w:tcMar>
            <w:vAlign w:val="center"/>
            <w:hideMark/>
          </w:tcPr>
          <w:p w14:paraId="51DD08B1"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Supported Versions Affected</w:t>
            </w:r>
          </w:p>
        </w:tc>
        <w:tc>
          <w:tcPr>
            <w:tcW w:w="0" w:type="auto"/>
            <w:vMerge w:val="restart"/>
            <w:tcBorders>
              <w:top w:val="single" w:sz="6" w:space="0" w:color="8B8580"/>
              <w:left w:val="single" w:sz="6" w:space="0" w:color="8B8580"/>
              <w:bottom w:val="single" w:sz="6" w:space="0" w:color="8B8580"/>
              <w:right w:val="single" w:sz="6" w:space="0" w:color="8B8580"/>
            </w:tcBorders>
            <w:shd w:val="clear" w:color="auto" w:fill="auto"/>
            <w:tcMar>
              <w:top w:w="72" w:type="dxa"/>
              <w:left w:w="72" w:type="dxa"/>
              <w:bottom w:w="72" w:type="dxa"/>
              <w:right w:w="72" w:type="dxa"/>
            </w:tcMar>
            <w:vAlign w:val="center"/>
            <w:hideMark/>
          </w:tcPr>
          <w:p w14:paraId="27A348D1"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Notes</w:t>
            </w:r>
          </w:p>
        </w:tc>
      </w:tr>
      <w:tr w:rsidR="003C48EC" w:rsidRPr="00770373" w14:paraId="7F391593" w14:textId="77777777" w:rsidTr="003C48EC">
        <w:trPr>
          <w:tblHeader/>
        </w:trPr>
        <w:tc>
          <w:tcPr>
            <w:tcW w:w="0" w:type="auto"/>
            <w:vMerge/>
            <w:tcBorders>
              <w:top w:val="single" w:sz="6" w:space="0" w:color="8B8580"/>
              <w:left w:val="single" w:sz="6" w:space="0" w:color="8B8580"/>
              <w:bottom w:val="single" w:sz="6" w:space="0" w:color="7A736E"/>
              <w:right w:val="single" w:sz="6" w:space="0" w:color="8B8580"/>
            </w:tcBorders>
            <w:vAlign w:val="center"/>
            <w:hideMark/>
          </w:tcPr>
          <w:p w14:paraId="68A07E27" w14:textId="77777777" w:rsidR="00770373" w:rsidRPr="00770373" w:rsidRDefault="00770373" w:rsidP="00770373">
            <w:pPr>
              <w:spacing w:after="0" w:line="240" w:lineRule="auto"/>
              <w:rPr>
                <w:rFonts w:ascii="Times New Roman" w:eastAsia="Times New Roman" w:hAnsi="Times New Roman" w:cs="Times New Roman"/>
                <w:b/>
                <w:bCs/>
                <w:sz w:val="16"/>
                <w:szCs w:val="16"/>
                <w:lang w:eastAsia="nl-NL"/>
              </w:rPr>
            </w:pPr>
          </w:p>
        </w:tc>
        <w:tc>
          <w:tcPr>
            <w:tcW w:w="0" w:type="auto"/>
            <w:vMerge/>
            <w:tcBorders>
              <w:top w:val="single" w:sz="6" w:space="0" w:color="8B8580"/>
              <w:left w:val="single" w:sz="6" w:space="0" w:color="8B8580"/>
              <w:bottom w:val="single" w:sz="6" w:space="0" w:color="8B8580"/>
              <w:right w:val="single" w:sz="6" w:space="0" w:color="8B8580"/>
            </w:tcBorders>
            <w:vAlign w:val="center"/>
            <w:hideMark/>
          </w:tcPr>
          <w:p w14:paraId="70149620" w14:textId="77777777" w:rsidR="00770373" w:rsidRPr="00770373" w:rsidRDefault="00770373" w:rsidP="00770373">
            <w:pPr>
              <w:spacing w:after="0" w:line="240" w:lineRule="auto"/>
              <w:rPr>
                <w:rFonts w:ascii="Times New Roman" w:eastAsia="Times New Roman" w:hAnsi="Times New Roman" w:cs="Times New Roman"/>
                <w:b/>
                <w:bCs/>
                <w:sz w:val="16"/>
                <w:szCs w:val="16"/>
                <w:lang w:eastAsia="nl-NL"/>
              </w:rPr>
            </w:pPr>
          </w:p>
        </w:tc>
        <w:tc>
          <w:tcPr>
            <w:tcW w:w="0" w:type="auto"/>
            <w:vMerge/>
            <w:tcBorders>
              <w:top w:val="single" w:sz="6" w:space="0" w:color="8B8580"/>
              <w:left w:val="single" w:sz="6" w:space="0" w:color="8B8580"/>
              <w:bottom w:val="single" w:sz="6" w:space="0" w:color="8B8580"/>
              <w:right w:val="single" w:sz="6" w:space="0" w:color="8B8580"/>
            </w:tcBorders>
            <w:vAlign w:val="center"/>
            <w:hideMark/>
          </w:tcPr>
          <w:p w14:paraId="60D04268" w14:textId="77777777" w:rsidR="00770373" w:rsidRPr="00770373" w:rsidRDefault="00770373" w:rsidP="00770373">
            <w:pPr>
              <w:spacing w:after="0" w:line="240" w:lineRule="auto"/>
              <w:rPr>
                <w:rFonts w:ascii="Times New Roman" w:eastAsia="Times New Roman" w:hAnsi="Times New Roman" w:cs="Times New Roman"/>
                <w:b/>
                <w:bCs/>
                <w:sz w:val="16"/>
                <w:szCs w:val="16"/>
                <w:lang w:eastAsia="nl-NL"/>
              </w:rPr>
            </w:pPr>
          </w:p>
        </w:tc>
        <w:tc>
          <w:tcPr>
            <w:tcW w:w="0" w:type="auto"/>
            <w:vMerge/>
            <w:tcBorders>
              <w:top w:val="single" w:sz="6" w:space="0" w:color="8B8580"/>
              <w:left w:val="single" w:sz="6" w:space="0" w:color="8B8580"/>
              <w:bottom w:val="single" w:sz="6" w:space="0" w:color="8B8580"/>
              <w:right w:val="single" w:sz="6" w:space="0" w:color="8B8580"/>
            </w:tcBorders>
            <w:vAlign w:val="center"/>
            <w:hideMark/>
          </w:tcPr>
          <w:p w14:paraId="3090887E" w14:textId="77777777" w:rsidR="00770373" w:rsidRPr="00770373" w:rsidRDefault="00770373" w:rsidP="00770373">
            <w:pPr>
              <w:spacing w:after="0" w:line="240" w:lineRule="auto"/>
              <w:rPr>
                <w:rFonts w:ascii="Times New Roman" w:eastAsia="Times New Roman" w:hAnsi="Times New Roman" w:cs="Times New Roman"/>
                <w:b/>
                <w:bCs/>
                <w:sz w:val="16"/>
                <w:szCs w:val="16"/>
                <w:lang w:eastAsia="nl-NL"/>
              </w:rPr>
            </w:pPr>
          </w:p>
        </w:tc>
        <w:tc>
          <w:tcPr>
            <w:tcW w:w="0" w:type="auto"/>
            <w:vMerge/>
            <w:tcBorders>
              <w:top w:val="single" w:sz="6" w:space="0" w:color="8B8580"/>
              <w:left w:val="single" w:sz="6" w:space="0" w:color="8B8580"/>
              <w:bottom w:val="single" w:sz="6" w:space="0" w:color="8B8580"/>
              <w:right w:val="single" w:sz="6" w:space="0" w:color="8B8580"/>
            </w:tcBorders>
            <w:vAlign w:val="center"/>
            <w:hideMark/>
          </w:tcPr>
          <w:p w14:paraId="33D11527" w14:textId="77777777" w:rsidR="00770373" w:rsidRPr="00770373" w:rsidRDefault="00770373" w:rsidP="00770373">
            <w:pPr>
              <w:spacing w:after="0" w:line="240" w:lineRule="auto"/>
              <w:rPr>
                <w:rFonts w:ascii="Times New Roman" w:eastAsia="Times New Roman" w:hAnsi="Times New Roman" w:cs="Times New Roman"/>
                <w:b/>
                <w:bCs/>
                <w:sz w:val="16"/>
                <w:szCs w:val="16"/>
                <w:lang w:eastAsia="nl-NL"/>
              </w:rPr>
            </w:pPr>
          </w:p>
        </w:tc>
        <w:tc>
          <w:tcPr>
            <w:tcW w:w="0" w:type="auto"/>
            <w:tcBorders>
              <w:top w:val="single" w:sz="6" w:space="0" w:color="8B8580"/>
              <w:left w:val="single" w:sz="6" w:space="0" w:color="8B8580"/>
              <w:bottom w:val="single" w:sz="6" w:space="0" w:color="7A736E"/>
              <w:right w:val="single" w:sz="6" w:space="0" w:color="8B8580"/>
            </w:tcBorders>
            <w:tcMar>
              <w:top w:w="72" w:type="dxa"/>
              <w:left w:w="72" w:type="dxa"/>
              <w:bottom w:w="72" w:type="dxa"/>
              <w:right w:w="72" w:type="dxa"/>
            </w:tcMar>
            <w:vAlign w:val="center"/>
            <w:hideMark/>
          </w:tcPr>
          <w:p w14:paraId="772548AA"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Base</w:t>
            </w:r>
            <w:r w:rsidRPr="00770373">
              <w:rPr>
                <w:rFonts w:ascii="Times New Roman" w:eastAsia="Times New Roman" w:hAnsi="Times New Roman" w:cs="Times New Roman"/>
                <w:b/>
                <w:bCs/>
                <w:sz w:val="16"/>
                <w:szCs w:val="16"/>
                <w:lang w:eastAsia="nl-NL"/>
              </w:rPr>
              <w:br/>
              <w:t>Score</w:t>
            </w:r>
          </w:p>
        </w:tc>
        <w:tc>
          <w:tcPr>
            <w:tcW w:w="0" w:type="auto"/>
            <w:tcBorders>
              <w:top w:val="single" w:sz="6" w:space="0" w:color="8B8580"/>
              <w:left w:val="single" w:sz="6" w:space="0" w:color="8B8580"/>
              <w:bottom w:val="single" w:sz="6" w:space="0" w:color="8B8580"/>
              <w:right w:val="single" w:sz="6" w:space="0" w:color="8B8580"/>
            </w:tcBorders>
            <w:tcMar>
              <w:top w:w="72" w:type="dxa"/>
              <w:left w:w="72" w:type="dxa"/>
              <w:bottom w:w="72" w:type="dxa"/>
              <w:right w:w="72" w:type="dxa"/>
            </w:tcMar>
            <w:vAlign w:val="center"/>
            <w:hideMark/>
          </w:tcPr>
          <w:p w14:paraId="6C61973E"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Attack</w:t>
            </w:r>
            <w:r w:rsidRPr="00770373">
              <w:rPr>
                <w:rFonts w:ascii="Times New Roman" w:eastAsia="Times New Roman" w:hAnsi="Times New Roman" w:cs="Times New Roman"/>
                <w:b/>
                <w:bCs/>
                <w:sz w:val="16"/>
                <w:szCs w:val="16"/>
                <w:lang w:eastAsia="nl-NL"/>
              </w:rPr>
              <w:br/>
              <w:t>Vector</w:t>
            </w:r>
          </w:p>
        </w:tc>
        <w:tc>
          <w:tcPr>
            <w:tcW w:w="0" w:type="auto"/>
            <w:tcBorders>
              <w:top w:val="single" w:sz="6" w:space="0" w:color="8B8580"/>
              <w:left w:val="single" w:sz="6" w:space="0" w:color="8B8580"/>
              <w:bottom w:val="single" w:sz="6" w:space="0" w:color="8B8580"/>
              <w:right w:val="single" w:sz="6" w:space="0" w:color="8B8580"/>
            </w:tcBorders>
            <w:tcMar>
              <w:top w:w="72" w:type="dxa"/>
              <w:left w:w="72" w:type="dxa"/>
              <w:bottom w:w="72" w:type="dxa"/>
              <w:right w:w="72" w:type="dxa"/>
            </w:tcMar>
            <w:vAlign w:val="center"/>
            <w:hideMark/>
          </w:tcPr>
          <w:p w14:paraId="76F41E88"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Attack</w:t>
            </w:r>
            <w:r w:rsidRPr="00770373">
              <w:rPr>
                <w:rFonts w:ascii="Times New Roman" w:eastAsia="Times New Roman" w:hAnsi="Times New Roman" w:cs="Times New Roman"/>
                <w:b/>
                <w:bCs/>
                <w:sz w:val="16"/>
                <w:szCs w:val="16"/>
                <w:lang w:eastAsia="nl-NL"/>
              </w:rPr>
              <w:br/>
              <w:t>Complex</w:t>
            </w:r>
          </w:p>
        </w:tc>
        <w:tc>
          <w:tcPr>
            <w:tcW w:w="0" w:type="auto"/>
            <w:tcBorders>
              <w:top w:val="single" w:sz="6" w:space="0" w:color="8B8580"/>
              <w:left w:val="single" w:sz="6" w:space="0" w:color="8B8580"/>
              <w:bottom w:val="single" w:sz="6" w:space="0" w:color="8B8580"/>
              <w:right w:val="single" w:sz="6" w:space="0" w:color="8B8580"/>
            </w:tcBorders>
            <w:tcMar>
              <w:top w:w="72" w:type="dxa"/>
              <w:left w:w="72" w:type="dxa"/>
              <w:bottom w:w="72" w:type="dxa"/>
              <w:right w:w="72" w:type="dxa"/>
            </w:tcMar>
            <w:vAlign w:val="center"/>
            <w:hideMark/>
          </w:tcPr>
          <w:p w14:paraId="0E442EBC"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Privs</w:t>
            </w:r>
            <w:r w:rsidRPr="00770373">
              <w:rPr>
                <w:rFonts w:ascii="Times New Roman" w:eastAsia="Times New Roman" w:hAnsi="Times New Roman" w:cs="Times New Roman"/>
                <w:b/>
                <w:bCs/>
                <w:sz w:val="16"/>
                <w:szCs w:val="16"/>
                <w:lang w:eastAsia="nl-NL"/>
              </w:rPr>
              <w:br/>
              <w:t>Req'd</w:t>
            </w:r>
          </w:p>
        </w:tc>
        <w:tc>
          <w:tcPr>
            <w:tcW w:w="0" w:type="auto"/>
            <w:tcBorders>
              <w:top w:val="single" w:sz="6" w:space="0" w:color="8B8580"/>
              <w:left w:val="single" w:sz="6" w:space="0" w:color="8B8580"/>
              <w:bottom w:val="single" w:sz="6" w:space="0" w:color="8B8580"/>
              <w:right w:val="single" w:sz="6" w:space="0" w:color="8B8580"/>
            </w:tcBorders>
            <w:tcMar>
              <w:top w:w="72" w:type="dxa"/>
              <w:left w:w="72" w:type="dxa"/>
              <w:bottom w:w="72" w:type="dxa"/>
              <w:right w:w="72" w:type="dxa"/>
            </w:tcMar>
            <w:vAlign w:val="center"/>
            <w:hideMark/>
          </w:tcPr>
          <w:p w14:paraId="68C1A85A"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User</w:t>
            </w:r>
            <w:r w:rsidRPr="00770373">
              <w:rPr>
                <w:rFonts w:ascii="Times New Roman" w:eastAsia="Times New Roman" w:hAnsi="Times New Roman" w:cs="Times New Roman"/>
                <w:b/>
                <w:bCs/>
                <w:sz w:val="16"/>
                <w:szCs w:val="16"/>
                <w:lang w:eastAsia="nl-NL"/>
              </w:rPr>
              <w:br/>
              <w:t>Interact</w:t>
            </w:r>
          </w:p>
        </w:tc>
        <w:tc>
          <w:tcPr>
            <w:tcW w:w="0" w:type="auto"/>
            <w:tcBorders>
              <w:top w:val="single" w:sz="6" w:space="0" w:color="8B8580"/>
              <w:left w:val="single" w:sz="6" w:space="0" w:color="8B8580"/>
              <w:bottom w:val="single" w:sz="6" w:space="0" w:color="8B8580"/>
              <w:right w:val="single" w:sz="6" w:space="0" w:color="8B8580"/>
            </w:tcBorders>
            <w:tcMar>
              <w:top w:w="72" w:type="dxa"/>
              <w:left w:w="72" w:type="dxa"/>
              <w:bottom w:w="72" w:type="dxa"/>
              <w:right w:w="72" w:type="dxa"/>
            </w:tcMar>
            <w:vAlign w:val="center"/>
            <w:hideMark/>
          </w:tcPr>
          <w:p w14:paraId="68647E87"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Scope</w:t>
            </w:r>
          </w:p>
        </w:tc>
        <w:tc>
          <w:tcPr>
            <w:tcW w:w="0" w:type="auto"/>
            <w:tcBorders>
              <w:top w:val="single" w:sz="6" w:space="0" w:color="8B8580"/>
              <w:left w:val="single" w:sz="6" w:space="0" w:color="8B8580"/>
              <w:bottom w:val="single" w:sz="6" w:space="0" w:color="8B8580"/>
              <w:right w:val="single" w:sz="6" w:space="0" w:color="8B8580"/>
            </w:tcBorders>
            <w:tcMar>
              <w:top w:w="72" w:type="dxa"/>
              <w:left w:w="72" w:type="dxa"/>
              <w:bottom w:w="72" w:type="dxa"/>
              <w:right w:w="72" w:type="dxa"/>
            </w:tcMar>
            <w:vAlign w:val="center"/>
            <w:hideMark/>
          </w:tcPr>
          <w:p w14:paraId="7256E837"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Confid-</w:t>
            </w:r>
            <w:r w:rsidRPr="00770373">
              <w:rPr>
                <w:rFonts w:ascii="Times New Roman" w:eastAsia="Times New Roman" w:hAnsi="Times New Roman" w:cs="Times New Roman"/>
                <w:b/>
                <w:bCs/>
                <w:sz w:val="16"/>
                <w:szCs w:val="16"/>
                <w:lang w:eastAsia="nl-NL"/>
              </w:rPr>
              <w:br/>
              <w:t>entiality</w:t>
            </w:r>
          </w:p>
        </w:tc>
        <w:tc>
          <w:tcPr>
            <w:tcW w:w="0" w:type="auto"/>
            <w:tcBorders>
              <w:top w:val="single" w:sz="6" w:space="0" w:color="8B8580"/>
              <w:left w:val="single" w:sz="6" w:space="0" w:color="8B8580"/>
              <w:bottom w:val="single" w:sz="6" w:space="0" w:color="8B8580"/>
              <w:right w:val="single" w:sz="6" w:space="0" w:color="8B8580"/>
            </w:tcBorders>
            <w:tcMar>
              <w:top w:w="72" w:type="dxa"/>
              <w:left w:w="72" w:type="dxa"/>
              <w:bottom w:w="72" w:type="dxa"/>
              <w:right w:w="72" w:type="dxa"/>
            </w:tcMar>
            <w:vAlign w:val="center"/>
            <w:hideMark/>
          </w:tcPr>
          <w:p w14:paraId="0B178AC2"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Inte-</w:t>
            </w:r>
            <w:r w:rsidRPr="00770373">
              <w:rPr>
                <w:rFonts w:ascii="Times New Roman" w:eastAsia="Times New Roman" w:hAnsi="Times New Roman" w:cs="Times New Roman"/>
                <w:b/>
                <w:bCs/>
                <w:sz w:val="16"/>
                <w:szCs w:val="16"/>
                <w:lang w:eastAsia="nl-NL"/>
              </w:rPr>
              <w:br/>
              <w:t>grity</w:t>
            </w:r>
          </w:p>
        </w:tc>
        <w:tc>
          <w:tcPr>
            <w:tcW w:w="0" w:type="auto"/>
            <w:tcBorders>
              <w:top w:val="single" w:sz="6" w:space="0" w:color="8B8580"/>
              <w:left w:val="single" w:sz="6" w:space="0" w:color="8B8580"/>
              <w:bottom w:val="single" w:sz="6" w:space="0" w:color="8B8580"/>
              <w:right w:val="single" w:sz="6" w:space="0" w:color="8B8580"/>
            </w:tcBorders>
            <w:tcMar>
              <w:top w:w="72" w:type="dxa"/>
              <w:left w:w="72" w:type="dxa"/>
              <w:bottom w:w="72" w:type="dxa"/>
              <w:right w:w="72" w:type="dxa"/>
            </w:tcMar>
            <w:vAlign w:val="center"/>
            <w:hideMark/>
          </w:tcPr>
          <w:p w14:paraId="2132E2DC" w14:textId="77777777" w:rsidR="00770373" w:rsidRPr="00770373" w:rsidRDefault="00770373" w:rsidP="00770373">
            <w:pPr>
              <w:spacing w:after="0" w:line="240" w:lineRule="auto"/>
              <w:jc w:val="center"/>
              <w:rPr>
                <w:rFonts w:ascii="Times New Roman" w:eastAsia="Times New Roman" w:hAnsi="Times New Roman" w:cs="Times New Roman"/>
                <w:b/>
                <w:bCs/>
                <w:sz w:val="16"/>
                <w:szCs w:val="16"/>
                <w:lang w:eastAsia="nl-NL"/>
              </w:rPr>
            </w:pPr>
            <w:r w:rsidRPr="00770373">
              <w:rPr>
                <w:rFonts w:ascii="Times New Roman" w:eastAsia="Times New Roman" w:hAnsi="Times New Roman" w:cs="Times New Roman"/>
                <w:b/>
                <w:bCs/>
                <w:sz w:val="16"/>
                <w:szCs w:val="16"/>
                <w:lang w:eastAsia="nl-NL"/>
              </w:rPr>
              <w:t>Avail-</w:t>
            </w:r>
            <w:r w:rsidRPr="00770373">
              <w:rPr>
                <w:rFonts w:ascii="Times New Roman" w:eastAsia="Times New Roman" w:hAnsi="Times New Roman" w:cs="Times New Roman"/>
                <w:b/>
                <w:bCs/>
                <w:sz w:val="16"/>
                <w:szCs w:val="16"/>
                <w:lang w:eastAsia="nl-NL"/>
              </w:rPr>
              <w:br/>
              <w:t>ability</w:t>
            </w:r>
          </w:p>
        </w:tc>
        <w:tc>
          <w:tcPr>
            <w:tcW w:w="0" w:type="auto"/>
            <w:vMerge/>
            <w:tcBorders>
              <w:top w:val="single" w:sz="6" w:space="0" w:color="8B8580"/>
              <w:left w:val="single" w:sz="6" w:space="0" w:color="8B8580"/>
              <w:bottom w:val="single" w:sz="6" w:space="0" w:color="8B8580"/>
              <w:right w:val="single" w:sz="6" w:space="0" w:color="8B8580"/>
            </w:tcBorders>
            <w:vAlign w:val="center"/>
            <w:hideMark/>
          </w:tcPr>
          <w:p w14:paraId="3835D61C" w14:textId="77777777" w:rsidR="00770373" w:rsidRPr="00770373" w:rsidRDefault="00770373" w:rsidP="00770373">
            <w:pPr>
              <w:spacing w:after="0" w:line="240" w:lineRule="auto"/>
              <w:rPr>
                <w:rFonts w:ascii="Times New Roman" w:eastAsia="Times New Roman" w:hAnsi="Times New Roman" w:cs="Times New Roman"/>
                <w:b/>
                <w:bCs/>
                <w:sz w:val="16"/>
                <w:szCs w:val="16"/>
                <w:lang w:eastAsia="nl-NL"/>
              </w:rPr>
            </w:pPr>
          </w:p>
        </w:tc>
        <w:tc>
          <w:tcPr>
            <w:tcW w:w="0" w:type="auto"/>
            <w:vMerge/>
            <w:tcBorders>
              <w:top w:val="single" w:sz="6" w:space="0" w:color="8B8580"/>
              <w:left w:val="single" w:sz="6" w:space="0" w:color="8B8580"/>
              <w:bottom w:val="single" w:sz="6" w:space="0" w:color="8B8580"/>
              <w:right w:val="single" w:sz="6" w:space="0" w:color="8B8580"/>
            </w:tcBorders>
            <w:vAlign w:val="center"/>
            <w:hideMark/>
          </w:tcPr>
          <w:p w14:paraId="0463AEE4" w14:textId="77777777" w:rsidR="00770373" w:rsidRPr="00770373" w:rsidRDefault="00770373" w:rsidP="00770373">
            <w:pPr>
              <w:spacing w:after="0" w:line="240" w:lineRule="auto"/>
              <w:rPr>
                <w:rFonts w:ascii="Times New Roman" w:eastAsia="Times New Roman" w:hAnsi="Times New Roman" w:cs="Times New Roman"/>
                <w:b/>
                <w:bCs/>
                <w:sz w:val="16"/>
                <w:szCs w:val="16"/>
                <w:lang w:eastAsia="nl-NL"/>
              </w:rPr>
            </w:pPr>
          </w:p>
        </w:tc>
      </w:tr>
      <w:tr w:rsidR="00770373" w:rsidRPr="00770373" w14:paraId="35192852" w14:textId="77777777" w:rsidTr="003C48EC">
        <w:tc>
          <w:tcPr>
            <w:tcW w:w="0" w:type="auto"/>
            <w:tcBorders>
              <w:top w:val="single" w:sz="6" w:space="0" w:color="8B8580"/>
              <w:left w:val="single" w:sz="6" w:space="0" w:color="8B8580"/>
              <w:bottom w:val="single" w:sz="6" w:space="0" w:color="8B8580"/>
              <w:right w:val="single" w:sz="6" w:space="0" w:color="8B8580"/>
            </w:tcBorders>
            <w:shd w:val="clear" w:color="auto" w:fill="FBF9F8"/>
            <w:noWrap/>
            <w:tcMar>
              <w:top w:w="72" w:type="dxa"/>
              <w:left w:w="72" w:type="dxa"/>
              <w:bottom w:w="72" w:type="dxa"/>
              <w:right w:w="72" w:type="dxa"/>
            </w:tcMar>
            <w:vAlign w:val="center"/>
            <w:hideMark/>
          </w:tcPr>
          <w:p w14:paraId="4BFDA3CF" w14:textId="77777777" w:rsidR="00770373" w:rsidRPr="00770373" w:rsidRDefault="00770373" w:rsidP="00770373">
            <w:pPr>
              <w:spacing w:after="0" w:line="240" w:lineRule="auto"/>
              <w:rPr>
                <w:rFonts w:ascii="Times New Roman" w:eastAsia="Times New Roman" w:hAnsi="Times New Roman" w:cs="Times New Roman"/>
                <w:b/>
                <w:bCs/>
                <w:color w:val="161513"/>
                <w:sz w:val="16"/>
                <w:szCs w:val="16"/>
                <w:lang w:eastAsia="nl-NL"/>
              </w:rPr>
            </w:pPr>
            <w:r w:rsidRPr="00770373">
              <w:rPr>
                <w:rFonts w:ascii="Times New Roman" w:eastAsia="Times New Roman" w:hAnsi="Times New Roman" w:cs="Times New Roman"/>
                <w:b/>
                <w:bCs/>
                <w:color w:val="161513"/>
                <w:sz w:val="16"/>
                <w:szCs w:val="16"/>
                <w:lang w:eastAsia="nl-NL"/>
              </w:rPr>
              <w:t>CVE-2021-44228</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5C821C55"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Apache Log4j</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0685C472"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All</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54CDFB8A"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Multiple</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7D37CAD3"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Yes</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606CFDDB"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10.0</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5053A87A"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Network</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34733C11"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Low</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43D439A8"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None</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3FB4C7EF"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None</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1566F6DD"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Changed</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2A194A5D"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High</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27468F9A"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High</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58FFDB2A"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High</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6A87BA63"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2.0 - 2.14.1</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740669E3"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 </w:t>
            </w:r>
          </w:p>
        </w:tc>
      </w:tr>
      <w:tr w:rsidR="00770373" w:rsidRPr="00770373" w14:paraId="4BCFBC2A" w14:textId="77777777" w:rsidTr="003C48EC">
        <w:tc>
          <w:tcPr>
            <w:tcW w:w="0" w:type="auto"/>
            <w:tcBorders>
              <w:top w:val="single" w:sz="6" w:space="0" w:color="8B8580"/>
              <w:left w:val="single" w:sz="6" w:space="0" w:color="8B8580"/>
              <w:bottom w:val="single" w:sz="6" w:space="0" w:color="8B8580"/>
              <w:right w:val="single" w:sz="6" w:space="0" w:color="8B8580"/>
            </w:tcBorders>
            <w:shd w:val="clear" w:color="auto" w:fill="FBF9F8"/>
            <w:noWrap/>
            <w:tcMar>
              <w:top w:w="72" w:type="dxa"/>
              <w:left w:w="72" w:type="dxa"/>
              <w:bottom w:w="72" w:type="dxa"/>
              <w:right w:w="72" w:type="dxa"/>
            </w:tcMar>
            <w:vAlign w:val="center"/>
            <w:hideMark/>
          </w:tcPr>
          <w:p w14:paraId="212C9933" w14:textId="77777777" w:rsidR="00770373" w:rsidRPr="00770373" w:rsidRDefault="00770373" w:rsidP="00770373">
            <w:pPr>
              <w:spacing w:after="0" w:line="240" w:lineRule="auto"/>
              <w:rPr>
                <w:rFonts w:ascii="Times New Roman" w:eastAsia="Times New Roman" w:hAnsi="Times New Roman" w:cs="Times New Roman"/>
                <w:b/>
                <w:bCs/>
                <w:color w:val="161513"/>
                <w:sz w:val="16"/>
                <w:szCs w:val="16"/>
                <w:lang w:eastAsia="nl-NL"/>
              </w:rPr>
            </w:pPr>
            <w:r w:rsidRPr="00770373">
              <w:rPr>
                <w:rFonts w:ascii="Times New Roman" w:eastAsia="Times New Roman" w:hAnsi="Times New Roman" w:cs="Times New Roman"/>
                <w:b/>
                <w:bCs/>
                <w:color w:val="161513"/>
                <w:sz w:val="16"/>
                <w:szCs w:val="16"/>
                <w:lang w:eastAsia="nl-NL"/>
              </w:rPr>
              <w:t>CVE-2021-</w:t>
            </w:r>
            <w:r w:rsidRPr="00770373">
              <w:rPr>
                <w:rFonts w:ascii="Times New Roman" w:eastAsia="Times New Roman" w:hAnsi="Times New Roman" w:cs="Times New Roman"/>
                <w:b/>
                <w:bCs/>
                <w:color w:val="161513"/>
                <w:sz w:val="16"/>
                <w:szCs w:val="16"/>
                <w:lang w:eastAsia="nl-NL"/>
              </w:rPr>
              <w:lastRenderedPageBreak/>
              <w:t>45046</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46FDF0F9"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lastRenderedPageBreak/>
              <w:t>Apache Log4j</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17126A2F"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All</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38804BDD"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Multiple</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2CEB3F5E"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Yes</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57EACA12"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9.0</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6556F4F8"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Network</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5400C587"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High</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3CA6BA6A"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None</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634A3D56"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None</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321FFB5D"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Changed</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0FFAE093"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High</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26862D50"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High</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04851B9A"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High</w:t>
            </w:r>
          </w:p>
        </w:tc>
        <w:tc>
          <w:tcPr>
            <w:tcW w:w="0" w:type="auto"/>
            <w:tcBorders>
              <w:top w:val="single" w:sz="6" w:space="0" w:color="8B8580"/>
              <w:left w:val="single" w:sz="6" w:space="0" w:color="8B8580"/>
              <w:bottom w:val="single" w:sz="6" w:space="0" w:color="8B8580"/>
              <w:right w:val="single" w:sz="6" w:space="0" w:color="8B8580"/>
            </w:tcBorders>
            <w:shd w:val="clear" w:color="auto" w:fill="FBF9F8"/>
            <w:tcMar>
              <w:top w:w="72" w:type="dxa"/>
              <w:left w:w="72" w:type="dxa"/>
              <w:bottom w:w="72" w:type="dxa"/>
              <w:right w:w="72" w:type="dxa"/>
            </w:tcMar>
            <w:vAlign w:val="center"/>
            <w:hideMark/>
          </w:tcPr>
          <w:p w14:paraId="018085A4"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2.0 - 2.15.0</w:t>
            </w:r>
          </w:p>
        </w:tc>
        <w:tc>
          <w:tcPr>
            <w:tcW w:w="0" w:type="auto"/>
            <w:tcBorders>
              <w:top w:val="single" w:sz="6" w:space="0" w:color="8B8580"/>
              <w:left w:val="single" w:sz="6" w:space="0" w:color="8B8580"/>
              <w:bottom w:val="single" w:sz="6" w:space="0" w:color="8B8580"/>
              <w:right w:val="single" w:sz="6" w:space="0" w:color="8B8580"/>
            </w:tcBorders>
            <w:shd w:val="clear" w:color="auto" w:fill="F1EFED"/>
            <w:tcMar>
              <w:top w:w="72" w:type="dxa"/>
              <w:left w:w="72" w:type="dxa"/>
              <w:bottom w:w="72" w:type="dxa"/>
              <w:right w:w="72" w:type="dxa"/>
            </w:tcMar>
            <w:vAlign w:val="center"/>
            <w:hideMark/>
          </w:tcPr>
          <w:p w14:paraId="3A939BE0" w14:textId="77777777" w:rsidR="00770373" w:rsidRPr="00770373" w:rsidRDefault="00770373" w:rsidP="00770373">
            <w:pPr>
              <w:spacing w:after="0" w:line="240" w:lineRule="auto"/>
              <w:jc w:val="center"/>
              <w:rPr>
                <w:rFonts w:ascii="Times New Roman" w:eastAsia="Times New Roman" w:hAnsi="Times New Roman" w:cs="Times New Roman"/>
                <w:color w:val="161513"/>
                <w:sz w:val="16"/>
                <w:szCs w:val="16"/>
                <w:lang w:eastAsia="nl-NL"/>
              </w:rPr>
            </w:pPr>
            <w:r w:rsidRPr="00770373">
              <w:rPr>
                <w:rFonts w:ascii="Times New Roman" w:eastAsia="Times New Roman" w:hAnsi="Times New Roman" w:cs="Times New Roman"/>
                <w:color w:val="161513"/>
                <w:sz w:val="16"/>
                <w:szCs w:val="16"/>
                <w:lang w:eastAsia="nl-NL"/>
              </w:rPr>
              <w:t> </w:t>
            </w:r>
          </w:p>
        </w:tc>
      </w:tr>
    </w:tbl>
    <w:p w14:paraId="4AA0DBB1" w14:textId="77777777" w:rsidR="00770373" w:rsidRPr="00770373" w:rsidRDefault="00770373">
      <w:pPr>
        <w:rPr>
          <w:sz w:val="16"/>
          <w:szCs w:val="16"/>
        </w:rPr>
      </w:pPr>
    </w:p>
    <w:sectPr w:rsidR="00770373" w:rsidRPr="00770373" w:rsidSect="003C48E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3F57"/>
    <w:multiLevelType w:val="multilevel"/>
    <w:tmpl w:val="5F72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BF"/>
    <w:rsid w:val="00115B05"/>
    <w:rsid w:val="003C48EC"/>
    <w:rsid w:val="00480BBF"/>
    <w:rsid w:val="00770373"/>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2B1B"/>
  <w15:chartTrackingRefBased/>
  <w15:docId w15:val="{6E2F8315-B090-4DE6-AAFE-BE793A7E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770373"/>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770373"/>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770373"/>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70373"/>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770373"/>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770373"/>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77037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770373"/>
    <w:rPr>
      <w:b/>
      <w:bCs/>
    </w:rPr>
  </w:style>
  <w:style w:type="character" w:styleId="Hyperlink">
    <w:name w:val="Hyperlink"/>
    <w:basedOn w:val="Standaardalinea-lettertype"/>
    <w:uiPriority w:val="99"/>
    <w:semiHidden/>
    <w:unhideWhenUsed/>
    <w:rsid w:val="00770373"/>
    <w:rPr>
      <w:color w:val="0000FF"/>
      <w:u w:val="single"/>
    </w:rPr>
  </w:style>
  <w:style w:type="character" w:styleId="Nadruk">
    <w:name w:val="Emphasis"/>
    <w:basedOn w:val="Standaardalinea-lettertype"/>
    <w:uiPriority w:val="20"/>
    <w:qFormat/>
    <w:rsid w:val="007703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61517">
      <w:bodyDiv w:val="1"/>
      <w:marLeft w:val="0"/>
      <w:marRight w:val="0"/>
      <w:marTop w:val="0"/>
      <w:marBottom w:val="0"/>
      <w:divBdr>
        <w:top w:val="none" w:sz="0" w:space="0" w:color="auto"/>
        <w:left w:val="none" w:sz="0" w:space="0" w:color="auto"/>
        <w:bottom w:val="none" w:sz="0" w:space="0" w:color="auto"/>
        <w:right w:val="none" w:sz="0" w:space="0" w:color="auto"/>
      </w:divBdr>
      <w:divsChild>
        <w:div w:id="2145346901">
          <w:marLeft w:val="0"/>
          <w:marRight w:val="0"/>
          <w:marTop w:val="0"/>
          <w:marBottom w:val="0"/>
          <w:divBdr>
            <w:top w:val="none" w:sz="0" w:space="0" w:color="auto"/>
            <w:left w:val="none" w:sz="0" w:space="0" w:color="auto"/>
            <w:bottom w:val="none" w:sz="0" w:space="0" w:color="auto"/>
            <w:right w:val="none" w:sz="0" w:space="0" w:color="auto"/>
          </w:divBdr>
          <w:divsChild>
            <w:div w:id="1825201669">
              <w:marLeft w:val="0"/>
              <w:marRight w:val="0"/>
              <w:marTop w:val="0"/>
              <w:marBottom w:val="360"/>
              <w:divBdr>
                <w:top w:val="none" w:sz="0" w:space="0" w:color="auto"/>
                <w:left w:val="none" w:sz="0" w:space="0" w:color="auto"/>
                <w:bottom w:val="none" w:sz="0" w:space="0" w:color="auto"/>
                <w:right w:val="none" w:sz="0" w:space="0" w:color="auto"/>
              </w:divBdr>
            </w:div>
          </w:divsChild>
        </w:div>
        <w:div w:id="504511975">
          <w:marLeft w:val="0"/>
          <w:marRight w:val="0"/>
          <w:marTop w:val="0"/>
          <w:marBottom w:val="0"/>
          <w:divBdr>
            <w:top w:val="none" w:sz="0" w:space="0" w:color="auto"/>
            <w:left w:val="none" w:sz="0" w:space="0" w:color="auto"/>
            <w:bottom w:val="none" w:sz="0" w:space="0" w:color="auto"/>
            <w:right w:val="none" w:sz="0" w:space="0" w:color="auto"/>
          </w:divBdr>
          <w:divsChild>
            <w:div w:id="585264023">
              <w:marLeft w:val="0"/>
              <w:marRight w:val="0"/>
              <w:marTop w:val="0"/>
              <w:marBottom w:val="360"/>
              <w:divBdr>
                <w:top w:val="none" w:sz="0" w:space="0" w:color="auto"/>
                <w:left w:val="none" w:sz="0" w:space="0" w:color="auto"/>
                <w:bottom w:val="none" w:sz="0" w:space="0" w:color="auto"/>
                <w:right w:val="none" w:sz="0" w:space="0" w:color="auto"/>
              </w:divBdr>
            </w:div>
          </w:divsChild>
        </w:div>
        <w:div w:id="1408840079">
          <w:marLeft w:val="0"/>
          <w:marRight w:val="0"/>
          <w:marTop w:val="0"/>
          <w:marBottom w:val="0"/>
          <w:divBdr>
            <w:top w:val="none" w:sz="0" w:space="0" w:color="auto"/>
            <w:left w:val="none" w:sz="0" w:space="0" w:color="auto"/>
            <w:bottom w:val="none" w:sz="0" w:space="0" w:color="auto"/>
            <w:right w:val="none" w:sz="0" w:space="0" w:color="auto"/>
          </w:divBdr>
          <w:divsChild>
            <w:div w:id="12270626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rs?type=doc&amp;id=209768.1" TargetMode="External"/><Relationship Id="rId13" Type="http://schemas.openxmlformats.org/officeDocument/2006/relationships/hyperlink" Target="https://www.oracle.com/security-alerts/cvssscoringsystem.html" TargetMode="External"/><Relationship Id="rId18" Type="http://schemas.openxmlformats.org/officeDocument/2006/relationships/hyperlink" Target="https://support.oracle.com/rs?type=doc&amp;id=2591118.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racle.com/security-alerts/cvssscoringsystem.html" TargetMode="External"/><Relationship Id="rId7" Type="http://schemas.openxmlformats.org/officeDocument/2006/relationships/hyperlink" Target="https://www.oracle.com/us/support/lifetime-support/index.html?ssSourceSiteId=otnen" TargetMode="External"/><Relationship Id="rId12" Type="http://schemas.openxmlformats.org/officeDocument/2006/relationships/hyperlink" Target="https://www.oracle.com/security-alerts/advisorymatrixglossary.html" TargetMode="External"/><Relationship Id="rId17" Type="http://schemas.openxmlformats.org/officeDocument/2006/relationships/hyperlink" Target="https://www.oracle.com/support/lifetime-support/resource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racle.com/security-alerts/public-vuln-to-advisory-mapping.html" TargetMode="External"/><Relationship Id="rId20" Type="http://schemas.openxmlformats.org/officeDocument/2006/relationships/hyperlink" Target="https://www.oracle.com/security-alerts/cve-2021-44228verbose.html" TargetMode="External"/><Relationship Id="rId1" Type="http://schemas.openxmlformats.org/officeDocument/2006/relationships/numbering" Target="numbering.xml"/><Relationship Id="rId6" Type="http://schemas.openxmlformats.org/officeDocument/2006/relationships/hyperlink" Target="https://support.oracle.com/rs?type=doc&amp;id=2827611.1" TargetMode="External"/><Relationship Id="rId11" Type="http://schemas.openxmlformats.org/officeDocument/2006/relationships/hyperlink" Target="https://www.oracle.com/security-alerts/cpufaq.html" TargetMode="External"/><Relationship Id="rId24" Type="http://schemas.openxmlformats.org/officeDocument/2006/relationships/hyperlink" Target="https://www.oracle.com/security-alerts/advisorymatrixglossary.html" TargetMode="External"/><Relationship Id="rId5" Type="http://schemas.openxmlformats.org/officeDocument/2006/relationships/hyperlink" Target="https://www.oracle.com/security-alerts/alert-cve-2021-44228.html" TargetMode="External"/><Relationship Id="rId15" Type="http://schemas.openxmlformats.org/officeDocument/2006/relationships/hyperlink" Target="https://www.oracle.com/a/tech/docs/cve-2021-44228cvrf.xml" TargetMode="External"/><Relationship Id="rId23" Type="http://schemas.openxmlformats.org/officeDocument/2006/relationships/hyperlink" Target="https://www.oracle.com/security-alerts/cve-2021-44228verbose.html" TargetMode="External"/><Relationship Id="rId10" Type="http://schemas.openxmlformats.org/officeDocument/2006/relationships/hyperlink" Target="https://www.oracle.com/security-alerts" TargetMode="External"/><Relationship Id="rId19" Type="http://schemas.openxmlformats.org/officeDocument/2006/relationships/hyperlink" Target="https://www.oracle.com/security-alerts" TargetMode="External"/><Relationship Id="rId4" Type="http://schemas.openxmlformats.org/officeDocument/2006/relationships/webSettings" Target="webSettings.xml"/><Relationship Id="rId9" Type="http://schemas.openxmlformats.org/officeDocument/2006/relationships/hyperlink" Target="https://www.oracle.com/us/support/policies/index.html?ssSourceSiteId=otnen" TargetMode="External"/><Relationship Id="rId14" Type="http://schemas.openxmlformats.org/officeDocument/2006/relationships/hyperlink" Target="https://www.oracle.com/security-alerts/cve-2021-44228verbose.html" TargetMode="External"/><Relationship Id="rId22" Type="http://schemas.openxmlformats.org/officeDocument/2006/relationships/hyperlink" Target="https://www.oracle.com/us/support/assurance/disclosure-polici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1092</Words>
  <Characters>6010</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cp:revision>
  <dcterms:created xsi:type="dcterms:W3CDTF">2021-12-21T14:59:00Z</dcterms:created>
  <dcterms:modified xsi:type="dcterms:W3CDTF">2021-12-21T15:02:00Z</dcterms:modified>
</cp:coreProperties>
</file>