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98736" w14:textId="77777777" w:rsidR="00841364" w:rsidRPr="00704344" w:rsidRDefault="00841364" w:rsidP="00841364">
      <w:pPr>
        <w:pStyle w:val="Kop3"/>
        <w:shd w:val="clear" w:color="auto" w:fill="FCFBFA"/>
        <w:spacing w:before="300" w:after="150"/>
        <w:rPr>
          <w:rFonts w:ascii="inherit" w:hAnsi="inherit" w:cs="Segoe UI"/>
          <w:color w:val="1A1816"/>
          <w:sz w:val="16"/>
          <w:szCs w:val="16"/>
        </w:rPr>
      </w:pPr>
      <w:r w:rsidRPr="00704344">
        <w:rPr>
          <w:rStyle w:val="enumerationsection"/>
          <w:rFonts w:ascii="inherit" w:hAnsi="inherit" w:cs="Segoe UI"/>
          <w:b/>
          <w:bCs/>
          <w:color w:val="1A1816"/>
          <w:sz w:val="16"/>
          <w:szCs w:val="16"/>
        </w:rPr>
        <w:t>1.1 </w:t>
      </w:r>
      <w:r w:rsidRPr="00704344">
        <w:rPr>
          <w:rFonts w:ascii="inherit" w:hAnsi="inherit" w:cs="Segoe UI"/>
          <w:b/>
          <w:bCs/>
          <w:color w:val="1A1816"/>
          <w:sz w:val="16"/>
          <w:szCs w:val="16"/>
        </w:rPr>
        <w:t>Overview</w:t>
      </w:r>
    </w:p>
    <w:p w14:paraId="3A04DCE9"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 xml:space="preserve">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on Oracle Cloud Marketplace is the cloud based version of 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and provides the same benefits, scalability, security, and robustness that you can rely on for enterprise replication.</w:t>
      </w:r>
    </w:p>
    <w:p w14:paraId="679BBC9F" w14:textId="77777777" w:rsidR="00841364" w:rsidRPr="00704344" w:rsidRDefault="00841364" w:rsidP="00841364">
      <w:pPr>
        <w:pStyle w:val="Kop3"/>
        <w:shd w:val="clear" w:color="auto" w:fill="FCFBFA"/>
        <w:spacing w:before="300" w:after="150"/>
        <w:rPr>
          <w:rFonts w:ascii="inherit" w:hAnsi="inherit" w:cs="Segoe UI"/>
          <w:color w:val="1A1816"/>
          <w:sz w:val="16"/>
          <w:szCs w:val="16"/>
        </w:rPr>
      </w:pPr>
      <w:bookmarkStart w:id="0" w:name="GUID-1DD897A1-D836-476D-88A0-1B162861C29"/>
      <w:bookmarkEnd w:id="0"/>
      <w:r w:rsidRPr="00704344">
        <w:rPr>
          <w:rStyle w:val="enumerationsection"/>
          <w:rFonts w:ascii="inherit" w:hAnsi="inherit" w:cs="Segoe UI"/>
          <w:b/>
          <w:bCs/>
          <w:color w:val="1A1816"/>
          <w:sz w:val="16"/>
          <w:szCs w:val="16"/>
        </w:rPr>
        <w:t>1.2 </w:t>
      </w:r>
      <w:r w:rsidRPr="00704344">
        <w:rPr>
          <w:rFonts w:ascii="inherit" w:hAnsi="inherit" w:cs="Segoe UI"/>
          <w:b/>
          <w:bCs/>
          <w:color w:val="1A1816"/>
          <w:sz w:val="16"/>
          <w:szCs w:val="16"/>
        </w:rPr>
        <w:t>Resources</w:t>
      </w:r>
    </w:p>
    <w:p w14:paraId="5CA01027"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 xml:space="preserve">The 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image on Oracle Cloud Marketplace contains the latest 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release along with Oracle Database Client software for all supported versions of Oracle Database.</w:t>
      </w:r>
    </w:p>
    <w:p w14:paraId="039893B2"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 xml:space="preserve">For supported Oracle Database platforms for 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see the </w:t>
      </w:r>
      <w:hyperlink r:id="rId5" w:tgtFrame="_blank" w:history="1">
        <w:r w:rsidRPr="00704344">
          <w:rPr>
            <w:rStyle w:val="Hyperlink"/>
            <w:rFonts w:ascii="Segoe UI" w:hAnsi="Segoe UI" w:cs="Segoe UI"/>
            <w:color w:val="00688C"/>
            <w:sz w:val="16"/>
            <w:szCs w:val="16"/>
          </w:rPr>
          <w:t>latest certification matrix</w:t>
        </w:r>
      </w:hyperlink>
      <w:r w:rsidRPr="00704344">
        <w:rPr>
          <w:rFonts w:ascii="Segoe UI" w:hAnsi="Segoe UI" w:cs="Segoe UI"/>
          <w:color w:val="1A1816"/>
          <w:sz w:val="16"/>
          <w:szCs w:val="16"/>
        </w:rPr>
        <w:t>.</w:t>
      </w:r>
    </w:p>
    <w:p w14:paraId="0F66B9E1"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 xml:space="preserve">All the software on 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Compute node is installed under the </w:t>
      </w:r>
      <w:r w:rsidRPr="00704344">
        <w:rPr>
          <w:rStyle w:val="HTMLCode"/>
          <w:color w:val="1A1816"/>
          <w:sz w:val="16"/>
          <w:szCs w:val="16"/>
        </w:rPr>
        <w:t>/u01/app</w:t>
      </w:r>
      <w:r w:rsidRPr="00704344">
        <w:rPr>
          <w:rFonts w:ascii="Segoe UI" w:hAnsi="Segoe UI" w:cs="Segoe UI"/>
          <w:color w:val="1A1816"/>
          <w:sz w:val="16"/>
          <w:szCs w:val="16"/>
        </w:rPr>
        <w:t> directory structure.</w:t>
      </w:r>
    </w:p>
    <w:p w14:paraId="72F5B8A3" w14:textId="77777777" w:rsidR="00841364" w:rsidRPr="00704344" w:rsidRDefault="00841364" w:rsidP="00841364">
      <w:pPr>
        <w:pStyle w:val="subhead2"/>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Supported Compute Shapes</w:t>
      </w:r>
    </w:p>
    <w:p w14:paraId="57B9457E"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 xml:space="preserve">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runs on different OCI Compute Sizes. The following table provides details on the supported OCI Compute Sizes:</w:t>
      </w:r>
    </w:p>
    <w:tbl>
      <w:tblPr>
        <w:tblW w:w="4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Caption w:val=""/>
        <w:tblDescription w:val="This table provides details on the supported OCI Compute Sizes ."/>
      </w:tblPr>
      <w:tblGrid>
        <w:gridCol w:w="1712"/>
        <w:gridCol w:w="849"/>
        <w:gridCol w:w="1132"/>
        <w:gridCol w:w="1277"/>
      </w:tblGrid>
      <w:tr w:rsidR="00841364" w:rsidRPr="00704344" w14:paraId="2188E3C1" w14:textId="77777777" w:rsidTr="00841364">
        <w:trPr>
          <w:trHeight w:val="570"/>
          <w:tblHeader/>
        </w:trPr>
        <w:tc>
          <w:tcPr>
            <w:tcW w:w="1722" w:type="pct"/>
            <w:shd w:val="clear" w:color="auto" w:fill="F8F7F4"/>
            <w:tcMar>
              <w:top w:w="150" w:type="dxa"/>
              <w:left w:w="150" w:type="dxa"/>
              <w:bottom w:w="150" w:type="dxa"/>
              <w:right w:w="150" w:type="dxa"/>
            </w:tcMar>
            <w:vAlign w:val="bottom"/>
            <w:hideMark/>
          </w:tcPr>
          <w:p w14:paraId="79ABCB69" w14:textId="77777777" w:rsidR="00841364" w:rsidRPr="00704344" w:rsidRDefault="00841364">
            <w:pPr>
              <w:rPr>
                <w:rFonts w:ascii="Times New Roman" w:hAnsi="Times New Roman" w:cs="Times New Roman"/>
                <w:b/>
                <w:bCs/>
                <w:color w:val="1A1816"/>
                <w:sz w:val="16"/>
                <w:szCs w:val="16"/>
              </w:rPr>
            </w:pPr>
            <w:r w:rsidRPr="00704344">
              <w:rPr>
                <w:b/>
                <w:bCs/>
                <w:color w:val="1A1816"/>
                <w:sz w:val="16"/>
                <w:szCs w:val="16"/>
              </w:rPr>
              <w:t>Compute Shape</w:t>
            </w:r>
          </w:p>
        </w:tc>
        <w:tc>
          <w:tcPr>
            <w:tcW w:w="854" w:type="pct"/>
            <w:shd w:val="clear" w:color="auto" w:fill="F8F7F4"/>
            <w:tcMar>
              <w:top w:w="150" w:type="dxa"/>
              <w:left w:w="150" w:type="dxa"/>
              <w:bottom w:w="150" w:type="dxa"/>
              <w:right w:w="150" w:type="dxa"/>
            </w:tcMar>
            <w:vAlign w:val="bottom"/>
            <w:hideMark/>
          </w:tcPr>
          <w:p w14:paraId="4EA776C7" w14:textId="77777777" w:rsidR="00841364" w:rsidRPr="00704344" w:rsidRDefault="00841364">
            <w:pPr>
              <w:rPr>
                <w:b/>
                <w:bCs/>
                <w:color w:val="1A1816"/>
                <w:sz w:val="16"/>
                <w:szCs w:val="16"/>
              </w:rPr>
            </w:pPr>
            <w:r w:rsidRPr="00704344">
              <w:rPr>
                <w:b/>
                <w:bCs/>
                <w:color w:val="1A1816"/>
                <w:sz w:val="16"/>
                <w:szCs w:val="16"/>
              </w:rPr>
              <w:t>CPU</w:t>
            </w:r>
          </w:p>
        </w:tc>
        <w:tc>
          <w:tcPr>
            <w:tcW w:w="1139" w:type="pct"/>
            <w:shd w:val="clear" w:color="auto" w:fill="F8F7F4"/>
            <w:tcMar>
              <w:top w:w="150" w:type="dxa"/>
              <w:left w:w="150" w:type="dxa"/>
              <w:bottom w:w="150" w:type="dxa"/>
              <w:right w:w="150" w:type="dxa"/>
            </w:tcMar>
            <w:vAlign w:val="bottom"/>
            <w:hideMark/>
          </w:tcPr>
          <w:p w14:paraId="09847F0C" w14:textId="77777777" w:rsidR="00841364" w:rsidRPr="00704344" w:rsidRDefault="00841364">
            <w:pPr>
              <w:rPr>
                <w:b/>
                <w:bCs/>
                <w:color w:val="1A1816"/>
                <w:sz w:val="16"/>
                <w:szCs w:val="16"/>
              </w:rPr>
            </w:pPr>
            <w:r w:rsidRPr="00704344">
              <w:rPr>
                <w:b/>
                <w:bCs/>
                <w:color w:val="1A1816"/>
                <w:sz w:val="16"/>
                <w:szCs w:val="16"/>
              </w:rPr>
              <w:t>Memory</w:t>
            </w:r>
          </w:p>
        </w:tc>
        <w:tc>
          <w:tcPr>
            <w:tcW w:w="1285" w:type="pct"/>
            <w:shd w:val="clear" w:color="auto" w:fill="F8F7F4"/>
            <w:tcMar>
              <w:top w:w="150" w:type="dxa"/>
              <w:left w:w="150" w:type="dxa"/>
              <w:bottom w:w="150" w:type="dxa"/>
              <w:right w:w="150" w:type="dxa"/>
            </w:tcMar>
            <w:vAlign w:val="bottom"/>
            <w:hideMark/>
          </w:tcPr>
          <w:p w14:paraId="3B0A9F2A" w14:textId="77777777" w:rsidR="00841364" w:rsidRPr="00704344" w:rsidRDefault="00841364">
            <w:pPr>
              <w:rPr>
                <w:b/>
                <w:bCs/>
                <w:color w:val="1A1816"/>
                <w:sz w:val="16"/>
                <w:szCs w:val="16"/>
              </w:rPr>
            </w:pPr>
            <w:r w:rsidRPr="00704344">
              <w:rPr>
                <w:b/>
                <w:bCs/>
                <w:color w:val="1A1816"/>
                <w:sz w:val="16"/>
                <w:szCs w:val="16"/>
              </w:rPr>
              <w:t>Bandwidth</w:t>
            </w:r>
          </w:p>
        </w:tc>
      </w:tr>
      <w:tr w:rsidR="00841364" w:rsidRPr="00704344" w14:paraId="26600794" w14:textId="77777777" w:rsidTr="00841364">
        <w:tc>
          <w:tcPr>
            <w:tcW w:w="1722" w:type="pct"/>
            <w:shd w:val="clear" w:color="auto" w:fill="FFFFFF"/>
            <w:tcMar>
              <w:top w:w="150" w:type="dxa"/>
              <w:left w:w="150" w:type="dxa"/>
              <w:bottom w:w="150" w:type="dxa"/>
              <w:right w:w="150" w:type="dxa"/>
            </w:tcMar>
            <w:hideMark/>
          </w:tcPr>
          <w:p w14:paraId="1B962042" w14:textId="77777777" w:rsidR="00841364" w:rsidRPr="00704344" w:rsidRDefault="00841364">
            <w:pPr>
              <w:rPr>
                <w:color w:val="1A1816"/>
                <w:sz w:val="16"/>
                <w:szCs w:val="16"/>
              </w:rPr>
            </w:pPr>
            <w:r w:rsidRPr="00704344">
              <w:rPr>
                <w:color w:val="1A1816"/>
                <w:sz w:val="16"/>
                <w:szCs w:val="16"/>
              </w:rPr>
              <w:t>VM.Standard2.4</w:t>
            </w:r>
          </w:p>
        </w:tc>
        <w:tc>
          <w:tcPr>
            <w:tcW w:w="854" w:type="pct"/>
            <w:shd w:val="clear" w:color="auto" w:fill="FFFFFF"/>
            <w:tcMar>
              <w:top w:w="150" w:type="dxa"/>
              <w:left w:w="150" w:type="dxa"/>
              <w:bottom w:w="150" w:type="dxa"/>
              <w:right w:w="150" w:type="dxa"/>
            </w:tcMar>
            <w:hideMark/>
          </w:tcPr>
          <w:p w14:paraId="69603FD8" w14:textId="77777777" w:rsidR="00841364" w:rsidRPr="00704344" w:rsidRDefault="00841364">
            <w:pPr>
              <w:rPr>
                <w:color w:val="1A1816"/>
                <w:sz w:val="16"/>
                <w:szCs w:val="16"/>
              </w:rPr>
            </w:pPr>
            <w:r w:rsidRPr="00704344">
              <w:rPr>
                <w:color w:val="1A1816"/>
                <w:sz w:val="16"/>
                <w:szCs w:val="16"/>
              </w:rPr>
              <w:t>4</w:t>
            </w:r>
          </w:p>
        </w:tc>
        <w:tc>
          <w:tcPr>
            <w:tcW w:w="1139" w:type="pct"/>
            <w:shd w:val="clear" w:color="auto" w:fill="FFFFFF"/>
            <w:tcMar>
              <w:top w:w="150" w:type="dxa"/>
              <w:left w:w="150" w:type="dxa"/>
              <w:bottom w:w="150" w:type="dxa"/>
              <w:right w:w="150" w:type="dxa"/>
            </w:tcMar>
            <w:hideMark/>
          </w:tcPr>
          <w:p w14:paraId="2C7E2054" w14:textId="77777777" w:rsidR="00841364" w:rsidRPr="00704344" w:rsidRDefault="00841364">
            <w:pPr>
              <w:rPr>
                <w:color w:val="1A1816"/>
                <w:sz w:val="16"/>
                <w:szCs w:val="16"/>
              </w:rPr>
            </w:pPr>
            <w:r w:rsidRPr="00704344">
              <w:rPr>
                <w:color w:val="1A1816"/>
                <w:sz w:val="16"/>
                <w:szCs w:val="16"/>
              </w:rPr>
              <w:t>60</w:t>
            </w:r>
          </w:p>
        </w:tc>
        <w:tc>
          <w:tcPr>
            <w:tcW w:w="1285" w:type="pct"/>
            <w:shd w:val="clear" w:color="auto" w:fill="FFFFFF"/>
            <w:tcMar>
              <w:top w:w="150" w:type="dxa"/>
              <w:left w:w="150" w:type="dxa"/>
              <w:bottom w:w="150" w:type="dxa"/>
              <w:right w:w="150" w:type="dxa"/>
            </w:tcMar>
            <w:hideMark/>
          </w:tcPr>
          <w:p w14:paraId="7DAB0EB4" w14:textId="77777777" w:rsidR="00841364" w:rsidRPr="00704344" w:rsidRDefault="00841364">
            <w:pPr>
              <w:rPr>
                <w:color w:val="1A1816"/>
                <w:sz w:val="16"/>
                <w:szCs w:val="16"/>
              </w:rPr>
            </w:pPr>
            <w:r w:rsidRPr="00704344">
              <w:rPr>
                <w:color w:val="1A1816"/>
                <w:sz w:val="16"/>
                <w:szCs w:val="16"/>
              </w:rPr>
              <w:t>4.1 Gbps</w:t>
            </w:r>
          </w:p>
        </w:tc>
      </w:tr>
      <w:tr w:rsidR="00841364" w:rsidRPr="00704344" w14:paraId="5E500DBC" w14:textId="77777777" w:rsidTr="00841364">
        <w:tc>
          <w:tcPr>
            <w:tcW w:w="1722" w:type="pct"/>
            <w:shd w:val="clear" w:color="auto" w:fill="FFFFFF"/>
            <w:tcMar>
              <w:top w:w="150" w:type="dxa"/>
              <w:left w:w="150" w:type="dxa"/>
              <w:bottom w:w="150" w:type="dxa"/>
              <w:right w:w="150" w:type="dxa"/>
            </w:tcMar>
            <w:hideMark/>
          </w:tcPr>
          <w:p w14:paraId="4D0F79BA" w14:textId="77777777" w:rsidR="00841364" w:rsidRPr="00704344" w:rsidRDefault="00841364">
            <w:pPr>
              <w:rPr>
                <w:color w:val="1A1816"/>
                <w:sz w:val="16"/>
                <w:szCs w:val="16"/>
              </w:rPr>
            </w:pPr>
            <w:r w:rsidRPr="00704344">
              <w:rPr>
                <w:color w:val="1A1816"/>
                <w:sz w:val="16"/>
                <w:szCs w:val="16"/>
              </w:rPr>
              <w:t>VM.Standard2.8</w:t>
            </w:r>
          </w:p>
        </w:tc>
        <w:tc>
          <w:tcPr>
            <w:tcW w:w="854" w:type="pct"/>
            <w:shd w:val="clear" w:color="auto" w:fill="FFFFFF"/>
            <w:tcMar>
              <w:top w:w="150" w:type="dxa"/>
              <w:left w:w="150" w:type="dxa"/>
              <w:bottom w:w="150" w:type="dxa"/>
              <w:right w:w="150" w:type="dxa"/>
            </w:tcMar>
            <w:hideMark/>
          </w:tcPr>
          <w:p w14:paraId="65BDC0EA" w14:textId="77777777" w:rsidR="00841364" w:rsidRPr="00704344" w:rsidRDefault="00841364">
            <w:pPr>
              <w:rPr>
                <w:color w:val="1A1816"/>
                <w:sz w:val="16"/>
                <w:szCs w:val="16"/>
              </w:rPr>
            </w:pPr>
            <w:r w:rsidRPr="00704344">
              <w:rPr>
                <w:color w:val="1A1816"/>
                <w:sz w:val="16"/>
                <w:szCs w:val="16"/>
              </w:rPr>
              <w:t>8</w:t>
            </w:r>
          </w:p>
        </w:tc>
        <w:tc>
          <w:tcPr>
            <w:tcW w:w="1139" w:type="pct"/>
            <w:shd w:val="clear" w:color="auto" w:fill="FFFFFF"/>
            <w:tcMar>
              <w:top w:w="150" w:type="dxa"/>
              <w:left w:w="150" w:type="dxa"/>
              <w:bottom w:w="150" w:type="dxa"/>
              <w:right w:w="150" w:type="dxa"/>
            </w:tcMar>
            <w:hideMark/>
          </w:tcPr>
          <w:p w14:paraId="3B9EC3E0" w14:textId="77777777" w:rsidR="00841364" w:rsidRPr="00704344" w:rsidRDefault="00841364">
            <w:pPr>
              <w:rPr>
                <w:color w:val="1A1816"/>
                <w:sz w:val="16"/>
                <w:szCs w:val="16"/>
              </w:rPr>
            </w:pPr>
            <w:r w:rsidRPr="00704344">
              <w:rPr>
                <w:color w:val="1A1816"/>
                <w:sz w:val="16"/>
                <w:szCs w:val="16"/>
              </w:rPr>
              <w:t>160</w:t>
            </w:r>
          </w:p>
        </w:tc>
        <w:tc>
          <w:tcPr>
            <w:tcW w:w="1285" w:type="pct"/>
            <w:shd w:val="clear" w:color="auto" w:fill="FFFFFF"/>
            <w:tcMar>
              <w:top w:w="150" w:type="dxa"/>
              <w:left w:w="150" w:type="dxa"/>
              <w:bottom w:w="150" w:type="dxa"/>
              <w:right w:w="150" w:type="dxa"/>
            </w:tcMar>
            <w:hideMark/>
          </w:tcPr>
          <w:p w14:paraId="54CD2D4F" w14:textId="77777777" w:rsidR="00841364" w:rsidRPr="00704344" w:rsidRDefault="00841364">
            <w:pPr>
              <w:rPr>
                <w:color w:val="1A1816"/>
                <w:sz w:val="16"/>
                <w:szCs w:val="16"/>
              </w:rPr>
            </w:pPr>
            <w:r w:rsidRPr="00704344">
              <w:rPr>
                <w:color w:val="1A1816"/>
                <w:sz w:val="16"/>
                <w:szCs w:val="16"/>
              </w:rPr>
              <w:t>8.2 Gbps</w:t>
            </w:r>
          </w:p>
        </w:tc>
      </w:tr>
      <w:tr w:rsidR="00841364" w:rsidRPr="00704344" w14:paraId="50A0C486" w14:textId="77777777" w:rsidTr="00841364">
        <w:tc>
          <w:tcPr>
            <w:tcW w:w="1722" w:type="pct"/>
            <w:shd w:val="clear" w:color="auto" w:fill="FFFFFF"/>
            <w:tcMar>
              <w:top w:w="150" w:type="dxa"/>
              <w:left w:w="150" w:type="dxa"/>
              <w:bottom w:w="150" w:type="dxa"/>
              <w:right w:w="150" w:type="dxa"/>
            </w:tcMar>
            <w:hideMark/>
          </w:tcPr>
          <w:p w14:paraId="402BBD90" w14:textId="77777777" w:rsidR="00841364" w:rsidRPr="00704344" w:rsidRDefault="00841364">
            <w:pPr>
              <w:rPr>
                <w:color w:val="1A1816"/>
                <w:sz w:val="16"/>
                <w:szCs w:val="16"/>
              </w:rPr>
            </w:pPr>
            <w:r w:rsidRPr="00704344">
              <w:rPr>
                <w:color w:val="1A1816"/>
                <w:sz w:val="16"/>
                <w:szCs w:val="16"/>
              </w:rPr>
              <w:t>VM.Standard2.16</w:t>
            </w:r>
          </w:p>
        </w:tc>
        <w:tc>
          <w:tcPr>
            <w:tcW w:w="854" w:type="pct"/>
            <w:shd w:val="clear" w:color="auto" w:fill="FFFFFF"/>
            <w:tcMar>
              <w:top w:w="150" w:type="dxa"/>
              <w:left w:w="150" w:type="dxa"/>
              <w:bottom w:w="150" w:type="dxa"/>
              <w:right w:w="150" w:type="dxa"/>
            </w:tcMar>
            <w:hideMark/>
          </w:tcPr>
          <w:p w14:paraId="6914161A" w14:textId="77777777" w:rsidR="00841364" w:rsidRPr="00704344" w:rsidRDefault="00841364">
            <w:pPr>
              <w:rPr>
                <w:color w:val="1A1816"/>
                <w:sz w:val="16"/>
                <w:szCs w:val="16"/>
              </w:rPr>
            </w:pPr>
            <w:r w:rsidRPr="00704344">
              <w:rPr>
                <w:color w:val="1A1816"/>
                <w:sz w:val="16"/>
                <w:szCs w:val="16"/>
              </w:rPr>
              <w:t>16</w:t>
            </w:r>
          </w:p>
        </w:tc>
        <w:tc>
          <w:tcPr>
            <w:tcW w:w="1139" w:type="pct"/>
            <w:shd w:val="clear" w:color="auto" w:fill="FFFFFF"/>
            <w:tcMar>
              <w:top w:w="150" w:type="dxa"/>
              <w:left w:w="150" w:type="dxa"/>
              <w:bottom w:w="150" w:type="dxa"/>
              <w:right w:w="150" w:type="dxa"/>
            </w:tcMar>
            <w:hideMark/>
          </w:tcPr>
          <w:p w14:paraId="42A0C6A7" w14:textId="77777777" w:rsidR="00841364" w:rsidRPr="00704344" w:rsidRDefault="00841364">
            <w:pPr>
              <w:rPr>
                <w:color w:val="1A1816"/>
                <w:sz w:val="16"/>
                <w:szCs w:val="16"/>
              </w:rPr>
            </w:pPr>
            <w:r w:rsidRPr="00704344">
              <w:rPr>
                <w:color w:val="1A1816"/>
                <w:sz w:val="16"/>
                <w:szCs w:val="16"/>
              </w:rPr>
              <w:t>240</w:t>
            </w:r>
          </w:p>
        </w:tc>
        <w:tc>
          <w:tcPr>
            <w:tcW w:w="1285" w:type="pct"/>
            <w:shd w:val="clear" w:color="auto" w:fill="FFFFFF"/>
            <w:tcMar>
              <w:top w:w="150" w:type="dxa"/>
              <w:left w:w="150" w:type="dxa"/>
              <w:bottom w:w="150" w:type="dxa"/>
              <w:right w:w="150" w:type="dxa"/>
            </w:tcMar>
            <w:hideMark/>
          </w:tcPr>
          <w:p w14:paraId="2CF1BB07" w14:textId="77777777" w:rsidR="00841364" w:rsidRPr="00704344" w:rsidRDefault="00841364">
            <w:pPr>
              <w:rPr>
                <w:color w:val="1A1816"/>
                <w:sz w:val="16"/>
                <w:szCs w:val="16"/>
              </w:rPr>
            </w:pPr>
            <w:r w:rsidRPr="00704344">
              <w:rPr>
                <w:color w:val="1A1816"/>
                <w:sz w:val="16"/>
                <w:szCs w:val="16"/>
              </w:rPr>
              <w:t>16.4 Gbps</w:t>
            </w:r>
          </w:p>
        </w:tc>
      </w:tr>
      <w:tr w:rsidR="00841364" w:rsidRPr="00704344" w14:paraId="67B0AAC8" w14:textId="77777777" w:rsidTr="00841364">
        <w:tc>
          <w:tcPr>
            <w:tcW w:w="1722" w:type="pct"/>
            <w:shd w:val="clear" w:color="auto" w:fill="FFFFFF"/>
            <w:tcMar>
              <w:top w:w="150" w:type="dxa"/>
              <w:left w:w="150" w:type="dxa"/>
              <w:bottom w:w="150" w:type="dxa"/>
              <w:right w:w="150" w:type="dxa"/>
            </w:tcMar>
            <w:hideMark/>
          </w:tcPr>
          <w:p w14:paraId="42A01F5F" w14:textId="77777777" w:rsidR="00841364" w:rsidRPr="00704344" w:rsidRDefault="00841364">
            <w:pPr>
              <w:rPr>
                <w:color w:val="1A1816"/>
                <w:sz w:val="16"/>
                <w:szCs w:val="16"/>
              </w:rPr>
            </w:pPr>
            <w:r w:rsidRPr="00704344">
              <w:rPr>
                <w:color w:val="1A1816"/>
                <w:sz w:val="16"/>
                <w:szCs w:val="16"/>
              </w:rPr>
              <w:t>VM.Standard2.24</w:t>
            </w:r>
          </w:p>
        </w:tc>
        <w:tc>
          <w:tcPr>
            <w:tcW w:w="854" w:type="pct"/>
            <w:shd w:val="clear" w:color="auto" w:fill="FFFFFF"/>
            <w:tcMar>
              <w:top w:w="150" w:type="dxa"/>
              <w:left w:w="150" w:type="dxa"/>
              <w:bottom w:w="150" w:type="dxa"/>
              <w:right w:w="150" w:type="dxa"/>
            </w:tcMar>
            <w:hideMark/>
          </w:tcPr>
          <w:p w14:paraId="13E05F6C" w14:textId="77777777" w:rsidR="00841364" w:rsidRPr="00704344" w:rsidRDefault="00841364">
            <w:pPr>
              <w:rPr>
                <w:color w:val="1A1816"/>
                <w:sz w:val="16"/>
                <w:szCs w:val="16"/>
              </w:rPr>
            </w:pPr>
            <w:r w:rsidRPr="00704344">
              <w:rPr>
                <w:color w:val="1A1816"/>
                <w:sz w:val="16"/>
                <w:szCs w:val="16"/>
              </w:rPr>
              <w:t>24</w:t>
            </w:r>
          </w:p>
        </w:tc>
        <w:tc>
          <w:tcPr>
            <w:tcW w:w="1139" w:type="pct"/>
            <w:shd w:val="clear" w:color="auto" w:fill="FFFFFF"/>
            <w:tcMar>
              <w:top w:w="150" w:type="dxa"/>
              <w:left w:w="150" w:type="dxa"/>
              <w:bottom w:w="150" w:type="dxa"/>
              <w:right w:w="150" w:type="dxa"/>
            </w:tcMar>
            <w:hideMark/>
          </w:tcPr>
          <w:p w14:paraId="21B978E5" w14:textId="77777777" w:rsidR="00841364" w:rsidRPr="00704344" w:rsidRDefault="00841364">
            <w:pPr>
              <w:rPr>
                <w:color w:val="1A1816"/>
                <w:sz w:val="16"/>
                <w:szCs w:val="16"/>
              </w:rPr>
            </w:pPr>
            <w:r w:rsidRPr="00704344">
              <w:rPr>
                <w:color w:val="1A1816"/>
                <w:sz w:val="16"/>
                <w:szCs w:val="16"/>
              </w:rPr>
              <w:t>320</w:t>
            </w:r>
          </w:p>
        </w:tc>
        <w:tc>
          <w:tcPr>
            <w:tcW w:w="1285" w:type="pct"/>
            <w:shd w:val="clear" w:color="auto" w:fill="FFFFFF"/>
            <w:tcMar>
              <w:top w:w="150" w:type="dxa"/>
              <w:left w:w="150" w:type="dxa"/>
              <w:bottom w:w="150" w:type="dxa"/>
              <w:right w:w="150" w:type="dxa"/>
            </w:tcMar>
            <w:hideMark/>
          </w:tcPr>
          <w:p w14:paraId="635FA7AE" w14:textId="77777777" w:rsidR="00841364" w:rsidRPr="00704344" w:rsidRDefault="00841364">
            <w:pPr>
              <w:rPr>
                <w:color w:val="1A1816"/>
                <w:sz w:val="16"/>
                <w:szCs w:val="16"/>
              </w:rPr>
            </w:pPr>
            <w:r w:rsidRPr="00704344">
              <w:rPr>
                <w:color w:val="1A1816"/>
                <w:sz w:val="16"/>
                <w:szCs w:val="16"/>
              </w:rPr>
              <w:t>24.6 Gbps</w:t>
            </w:r>
          </w:p>
        </w:tc>
      </w:tr>
    </w:tbl>
    <w:p w14:paraId="7F949C0F"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For pricing details on compute nodes, please refer to </w:t>
      </w:r>
      <w:hyperlink r:id="rId6" w:tgtFrame="_blank" w:history="1">
        <w:r w:rsidRPr="00704344">
          <w:rPr>
            <w:rStyle w:val="Hyperlink"/>
            <w:rFonts w:ascii="Segoe UI" w:hAnsi="Segoe UI" w:cs="Segoe UI"/>
            <w:b/>
            <w:bCs/>
            <w:color w:val="FF0000"/>
            <w:sz w:val="16"/>
            <w:szCs w:val="16"/>
          </w:rPr>
          <w:t>OCI Pricing</w:t>
        </w:r>
      </w:hyperlink>
      <w:r w:rsidRPr="00704344">
        <w:rPr>
          <w:rFonts w:ascii="Segoe UI" w:hAnsi="Segoe UI" w:cs="Segoe UI"/>
          <w:b/>
          <w:bCs/>
          <w:color w:val="FF0000"/>
          <w:sz w:val="16"/>
          <w:szCs w:val="16"/>
        </w:rPr>
        <w:t>.</w:t>
      </w:r>
    </w:p>
    <w:p w14:paraId="1D1CB9A7" w14:textId="77777777" w:rsidR="00841364" w:rsidRPr="00704344" w:rsidRDefault="00841364" w:rsidP="00841364">
      <w:pPr>
        <w:pStyle w:val="subhead2"/>
        <w:shd w:val="clear" w:color="auto" w:fill="FCFBFA"/>
        <w:spacing w:before="210" w:beforeAutospacing="0" w:after="210" w:afterAutospacing="0"/>
        <w:rPr>
          <w:rFonts w:ascii="Segoe UI" w:hAnsi="Segoe UI" w:cs="Segoe UI"/>
          <w:color w:val="1A1816"/>
          <w:sz w:val="16"/>
          <w:szCs w:val="16"/>
        </w:rPr>
      </w:pPr>
    </w:p>
    <w:p w14:paraId="2A961852" w14:textId="77777777" w:rsidR="00841364" w:rsidRPr="00704344" w:rsidRDefault="00841364" w:rsidP="00841364">
      <w:pPr>
        <w:pStyle w:val="subhead2"/>
        <w:shd w:val="clear" w:color="auto" w:fill="FCFBFA"/>
        <w:spacing w:before="210" w:beforeAutospacing="0" w:after="210" w:afterAutospacing="0"/>
        <w:rPr>
          <w:rFonts w:ascii="Segoe UI" w:hAnsi="Segoe UI" w:cs="Segoe UI"/>
          <w:color w:val="1A1816"/>
          <w:sz w:val="16"/>
          <w:szCs w:val="16"/>
        </w:rPr>
      </w:pPr>
    </w:p>
    <w:p w14:paraId="0333F0C0" w14:textId="720AFCEE" w:rsidR="00841364" w:rsidRPr="00704344" w:rsidRDefault="00841364" w:rsidP="00841364">
      <w:pPr>
        <w:pStyle w:val="subhead2"/>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Block Storage</w:t>
      </w:r>
    </w:p>
    <w:p w14:paraId="7AA7AE9E"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 xml:space="preserve">The following table provides details on the default block storage configuration used by 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on Oracle Cloud Marketplace.</w:t>
      </w:r>
    </w:p>
    <w:tbl>
      <w:tblPr>
        <w:tblW w:w="4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Caption w:val=""/>
        <w:tblDescription w:val="This table provides details on the default block storage."/>
      </w:tblPr>
      <w:tblGrid>
        <w:gridCol w:w="1710"/>
        <w:gridCol w:w="1418"/>
        <w:gridCol w:w="1275"/>
      </w:tblGrid>
      <w:tr w:rsidR="00841364" w:rsidRPr="00704344" w14:paraId="767FC5F0" w14:textId="77777777" w:rsidTr="00841364">
        <w:trPr>
          <w:trHeight w:val="570"/>
          <w:tblHeader/>
        </w:trPr>
        <w:tc>
          <w:tcPr>
            <w:tcW w:w="1942" w:type="pct"/>
            <w:shd w:val="clear" w:color="auto" w:fill="F8F7F4"/>
            <w:tcMar>
              <w:top w:w="150" w:type="dxa"/>
              <w:left w:w="150" w:type="dxa"/>
              <w:bottom w:w="150" w:type="dxa"/>
              <w:right w:w="150" w:type="dxa"/>
            </w:tcMar>
            <w:vAlign w:val="bottom"/>
            <w:hideMark/>
          </w:tcPr>
          <w:p w14:paraId="0DE2DE70" w14:textId="77777777" w:rsidR="00841364" w:rsidRPr="00704344" w:rsidRDefault="00841364">
            <w:pPr>
              <w:rPr>
                <w:rFonts w:ascii="Times New Roman" w:hAnsi="Times New Roman" w:cs="Times New Roman"/>
                <w:b/>
                <w:bCs/>
                <w:color w:val="1A1816"/>
                <w:sz w:val="16"/>
                <w:szCs w:val="16"/>
              </w:rPr>
            </w:pPr>
            <w:r w:rsidRPr="00704344">
              <w:rPr>
                <w:b/>
                <w:bCs/>
                <w:color w:val="1A1816"/>
                <w:sz w:val="16"/>
                <w:szCs w:val="16"/>
              </w:rPr>
              <w:t>Volume</w:t>
            </w:r>
          </w:p>
        </w:tc>
        <w:tc>
          <w:tcPr>
            <w:tcW w:w="1610" w:type="pct"/>
            <w:shd w:val="clear" w:color="auto" w:fill="F8F7F4"/>
            <w:tcMar>
              <w:top w:w="150" w:type="dxa"/>
              <w:left w:w="150" w:type="dxa"/>
              <w:bottom w:w="150" w:type="dxa"/>
              <w:right w:w="150" w:type="dxa"/>
            </w:tcMar>
            <w:vAlign w:val="bottom"/>
            <w:hideMark/>
          </w:tcPr>
          <w:p w14:paraId="537C1C9E" w14:textId="77777777" w:rsidR="00841364" w:rsidRPr="00704344" w:rsidRDefault="00841364">
            <w:pPr>
              <w:rPr>
                <w:b/>
                <w:bCs/>
                <w:color w:val="1A1816"/>
                <w:sz w:val="16"/>
                <w:szCs w:val="16"/>
              </w:rPr>
            </w:pPr>
            <w:r w:rsidRPr="00704344">
              <w:rPr>
                <w:b/>
                <w:bCs/>
                <w:color w:val="1A1816"/>
                <w:sz w:val="16"/>
                <w:szCs w:val="16"/>
              </w:rPr>
              <w:t>Default Size</w:t>
            </w:r>
          </w:p>
        </w:tc>
        <w:tc>
          <w:tcPr>
            <w:tcW w:w="1448" w:type="pct"/>
            <w:shd w:val="clear" w:color="auto" w:fill="F8F7F4"/>
            <w:tcMar>
              <w:top w:w="150" w:type="dxa"/>
              <w:left w:w="150" w:type="dxa"/>
              <w:bottom w:w="150" w:type="dxa"/>
              <w:right w:w="150" w:type="dxa"/>
            </w:tcMar>
            <w:vAlign w:val="bottom"/>
            <w:hideMark/>
          </w:tcPr>
          <w:p w14:paraId="5B62C080" w14:textId="77777777" w:rsidR="00841364" w:rsidRPr="00704344" w:rsidRDefault="00841364">
            <w:pPr>
              <w:rPr>
                <w:b/>
                <w:bCs/>
                <w:color w:val="1A1816"/>
                <w:sz w:val="16"/>
                <w:szCs w:val="16"/>
              </w:rPr>
            </w:pPr>
            <w:r w:rsidRPr="00704344">
              <w:rPr>
                <w:b/>
                <w:bCs/>
                <w:color w:val="1A1816"/>
                <w:sz w:val="16"/>
                <w:szCs w:val="16"/>
              </w:rPr>
              <w:t>Configurable</w:t>
            </w:r>
          </w:p>
        </w:tc>
      </w:tr>
      <w:tr w:rsidR="00841364" w:rsidRPr="00704344" w14:paraId="2F13C6B3" w14:textId="77777777" w:rsidTr="00841364">
        <w:tc>
          <w:tcPr>
            <w:tcW w:w="1942" w:type="pct"/>
            <w:shd w:val="clear" w:color="auto" w:fill="FFFFFF"/>
            <w:tcMar>
              <w:top w:w="150" w:type="dxa"/>
              <w:left w:w="150" w:type="dxa"/>
              <w:bottom w:w="150" w:type="dxa"/>
              <w:right w:w="150" w:type="dxa"/>
            </w:tcMar>
            <w:hideMark/>
          </w:tcPr>
          <w:p w14:paraId="1ED9876B" w14:textId="77777777" w:rsidR="00841364" w:rsidRPr="00704344" w:rsidRDefault="00841364">
            <w:pPr>
              <w:rPr>
                <w:color w:val="1A1816"/>
                <w:sz w:val="16"/>
                <w:szCs w:val="16"/>
              </w:rPr>
            </w:pPr>
            <w:r w:rsidRPr="00704344">
              <w:rPr>
                <w:color w:val="1A1816"/>
                <w:sz w:val="16"/>
                <w:szCs w:val="16"/>
              </w:rPr>
              <w:t>Boot</w:t>
            </w:r>
          </w:p>
        </w:tc>
        <w:tc>
          <w:tcPr>
            <w:tcW w:w="1610" w:type="pct"/>
            <w:shd w:val="clear" w:color="auto" w:fill="FFFFFF"/>
            <w:tcMar>
              <w:top w:w="150" w:type="dxa"/>
              <w:left w:w="150" w:type="dxa"/>
              <w:bottom w:w="150" w:type="dxa"/>
              <w:right w:w="150" w:type="dxa"/>
            </w:tcMar>
            <w:hideMark/>
          </w:tcPr>
          <w:p w14:paraId="1A2CD7D5" w14:textId="77777777" w:rsidR="00841364" w:rsidRPr="00704344" w:rsidRDefault="00841364">
            <w:pPr>
              <w:rPr>
                <w:color w:val="1A1816"/>
                <w:sz w:val="16"/>
                <w:szCs w:val="16"/>
              </w:rPr>
            </w:pPr>
            <w:r w:rsidRPr="00704344">
              <w:rPr>
                <w:color w:val="1A1816"/>
                <w:sz w:val="16"/>
                <w:szCs w:val="16"/>
              </w:rPr>
              <w:t>50GB</w:t>
            </w:r>
          </w:p>
        </w:tc>
        <w:tc>
          <w:tcPr>
            <w:tcW w:w="1448" w:type="pct"/>
            <w:shd w:val="clear" w:color="auto" w:fill="FFFFFF"/>
            <w:tcMar>
              <w:top w:w="150" w:type="dxa"/>
              <w:left w:w="150" w:type="dxa"/>
              <w:bottom w:w="150" w:type="dxa"/>
              <w:right w:w="150" w:type="dxa"/>
            </w:tcMar>
            <w:hideMark/>
          </w:tcPr>
          <w:p w14:paraId="4560D68D" w14:textId="77777777" w:rsidR="00841364" w:rsidRPr="00704344" w:rsidRDefault="00841364">
            <w:pPr>
              <w:rPr>
                <w:color w:val="1A1816"/>
                <w:sz w:val="16"/>
                <w:szCs w:val="16"/>
              </w:rPr>
            </w:pPr>
            <w:r w:rsidRPr="00704344">
              <w:rPr>
                <w:color w:val="1A1816"/>
                <w:sz w:val="16"/>
                <w:szCs w:val="16"/>
              </w:rPr>
              <w:t>Yes</w:t>
            </w:r>
          </w:p>
        </w:tc>
      </w:tr>
      <w:tr w:rsidR="00841364" w:rsidRPr="00704344" w14:paraId="5F3CF1EA" w14:textId="77777777" w:rsidTr="00841364">
        <w:tc>
          <w:tcPr>
            <w:tcW w:w="1942" w:type="pct"/>
            <w:shd w:val="clear" w:color="auto" w:fill="FFFFFF"/>
            <w:tcMar>
              <w:top w:w="150" w:type="dxa"/>
              <w:left w:w="150" w:type="dxa"/>
              <w:bottom w:w="150" w:type="dxa"/>
              <w:right w:w="150" w:type="dxa"/>
            </w:tcMar>
            <w:hideMark/>
          </w:tcPr>
          <w:p w14:paraId="24BA94F3" w14:textId="77777777" w:rsidR="00841364" w:rsidRPr="00704344" w:rsidRDefault="00841364">
            <w:pPr>
              <w:rPr>
                <w:color w:val="1A1816"/>
                <w:sz w:val="16"/>
                <w:szCs w:val="16"/>
              </w:rPr>
            </w:pPr>
            <w:r w:rsidRPr="00704344">
              <w:rPr>
                <w:color w:val="1A1816"/>
                <w:sz w:val="16"/>
                <w:szCs w:val="16"/>
              </w:rPr>
              <w:t>Swap</w:t>
            </w:r>
          </w:p>
        </w:tc>
        <w:tc>
          <w:tcPr>
            <w:tcW w:w="1610" w:type="pct"/>
            <w:shd w:val="clear" w:color="auto" w:fill="FFFFFF"/>
            <w:tcMar>
              <w:top w:w="150" w:type="dxa"/>
              <w:left w:w="150" w:type="dxa"/>
              <w:bottom w:w="150" w:type="dxa"/>
              <w:right w:w="150" w:type="dxa"/>
            </w:tcMar>
            <w:hideMark/>
          </w:tcPr>
          <w:p w14:paraId="24F0F28A" w14:textId="77777777" w:rsidR="00841364" w:rsidRPr="00704344" w:rsidRDefault="00841364">
            <w:pPr>
              <w:rPr>
                <w:color w:val="1A1816"/>
                <w:sz w:val="16"/>
                <w:szCs w:val="16"/>
              </w:rPr>
            </w:pPr>
            <w:r w:rsidRPr="00704344">
              <w:rPr>
                <w:color w:val="1A1816"/>
                <w:sz w:val="16"/>
                <w:szCs w:val="16"/>
              </w:rPr>
              <w:t>256GB</w:t>
            </w:r>
          </w:p>
        </w:tc>
        <w:tc>
          <w:tcPr>
            <w:tcW w:w="1448" w:type="pct"/>
            <w:shd w:val="clear" w:color="auto" w:fill="FFFFFF"/>
            <w:tcMar>
              <w:top w:w="150" w:type="dxa"/>
              <w:left w:w="150" w:type="dxa"/>
              <w:bottom w:w="150" w:type="dxa"/>
              <w:right w:w="150" w:type="dxa"/>
            </w:tcMar>
            <w:hideMark/>
          </w:tcPr>
          <w:p w14:paraId="4A955DD1" w14:textId="77777777" w:rsidR="00841364" w:rsidRPr="00704344" w:rsidRDefault="00841364">
            <w:pPr>
              <w:rPr>
                <w:color w:val="1A1816"/>
                <w:sz w:val="16"/>
                <w:szCs w:val="16"/>
              </w:rPr>
            </w:pPr>
            <w:r w:rsidRPr="00704344">
              <w:rPr>
                <w:color w:val="1A1816"/>
                <w:sz w:val="16"/>
                <w:szCs w:val="16"/>
              </w:rPr>
              <w:t>Yes</w:t>
            </w:r>
          </w:p>
        </w:tc>
      </w:tr>
      <w:tr w:rsidR="00841364" w:rsidRPr="00704344" w14:paraId="463306B1" w14:textId="77777777" w:rsidTr="00841364">
        <w:tc>
          <w:tcPr>
            <w:tcW w:w="1942" w:type="pct"/>
            <w:shd w:val="clear" w:color="auto" w:fill="FFFFFF"/>
            <w:tcMar>
              <w:top w:w="150" w:type="dxa"/>
              <w:left w:w="150" w:type="dxa"/>
              <w:bottom w:w="150" w:type="dxa"/>
              <w:right w:w="150" w:type="dxa"/>
            </w:tcMar>
            <w:hideMark/>
          </w:tcPr>
          <w:p w14:paraId="401999CA" w14:textId="77777777" w:rsidR="00841364" w:rsidRPr="00704344" w:rsidRDefault="00841364">
            <w:pPr>
              <w:rPr>
                <w:color w:val="1A1816"/>
                <w:sz w:val="16"/>
                <w:szCs w:val="16"/>
              </w:rPr>
            </w:pPr>
            <w:r w:rsidRPr="00704344">
              <w:rPr>
                <w:color w:val="1A1816"/>
                <w:sz w:val="16"/>
                <w:szCs w:val="16"/>
              </w:rPr>
              <w:lastRenderedPageBreak/>
              <w:t>Trail</w:t>
            </w:r>
          </w:p>
        </w:tc>
        <w:tc>
          <w:tcPr>
            <w:tcW w:w="1610" w:type="pct"/>
            <w:shd w:val="clear" w:color="auto" w:fill="FFFFFF"/>
            <w:tcMar>
              <w:top w:w="150" w:type="dxa"/>
              <w:left w:w="150" w:type="dxa"/>
              <w:bottom w:w="150" w:type="dxa"/>
              <w:right w:w="150" w:type="dxa"/>
            </w:tcMar>
            <w:hideMark/>
          </w:tcPr>
          <w:p w14:paraId="312DB6EC" w14:textId="77777777" w:rsidR="00841364" w:rsidRPr="00704344" w:rsidRDefault="00841364">
            <w:pPr>
              <w:rPr>
                <w:color w:val="1A1816"/>
                <w:sz w:val="16"/>
                <w:szCs w:val="16"/>
              </w:rPr>
            </w:pPr>
            <w:r w:rsidRPr="00704344">
              <w:rPr>
                <w:color w:val="1A1816"/>
                <w:sz w:val="16"/>
                <w:szCs w:val="16"/>
              </w:rPr>
              <w:t>512GB</w:t>
            </w:r>
          </w:p>
        </w:tc>
        <w:tc>
          <w:tcPr>
            <w:tcW w:w="1448" w:type="pct"/>
            <w:shd w:val="clear" w:color="auto" w:fill="FFFFFF"/>
            <w:tcMar>
              <w:top w:w="150" w:type="dxa"/>
              <w:left w:w="150" w:type="dxa"/>
              <w:bottom w:w="150" w:type="dxa"/>
              <w:right w:w="150" w:type="dxa"/>
            </w:tcMar>
            <w:hideMark/>
          </w:tcPr>
          <w:p w14:paraId="41CF3BB9" w14:textId="77777777" w:rsidR="00841364" w:rsidRPr="00704344" w:rsidRDefault="00841364">
            <w:pPr>
              <w:rPr>
                <w:color w:val="1A1816"/>
                <w:sz w:val="16"/>
                <w:szCs w:val="16"/>
              </w:rPr>
            </w:pPr>
            <w:r w:rsidRPr="00704344">
              <w:rPr>
                <w:color w:val="1A1816"/>
                <w:sz w:val="16"/>
                <w:szCs w:val="16"/>
              </w:rPr>
              <w:t>Yes</w:t>
            </w:r>
          </w:p>
        </w:tc>
      </w:tr>
      <w:tr w:rsidR="00841364" w:rsidRPr="00704344" w14:paraId="783FF75F" w14:textId="77777777" w:rsidTr="00841364">
        <w:tc>
          <w:tcPr>
            <w:tcW w:w="1942" w:type="pct"/>
            <w:shd w:val="clear" w:color="auto" w:fill="FFFFFF"/>
            <w:tcMar>
              <w:top w:w="150" w:type="dxa"/>
              <w:left w:w="150" w:type="dxa"/>
              <w:bottom w:w="150" w:type="dxa"/>
              <w:right w:w="150" w:type="dxa"/>
            </w:tcMar>
            <w:hideMark/>
          </w:tcPr>
          <w:p w14:paraId="2E949004" w14:textId="77777777" w:rsidR="00841364" w:rsidRPr="00704344" w:rsidRDefault="00841364">
            <w:pPr>
              <w:rPr>
                <w:color w:val="1A1816"/>
                <w:sz w:val="16"/>
                <w:szCs w:val="16"/>
              </w:rPr>
            </w:pPr>
            <w:r w:rsidRPr="00704344">
              <w:rPr>
                <w:color w:val="1A1816"/>
                <w:sz w:val="16"/>
                <w:szCs w:val="16"/>
              </w:rPr>
              <w:t>Deployments</w:t>
            </w:r>
          </w:p>
        </w:tc>
        <w:tc>
          <w:tcPr>
            <w:tcW w:w="1610" w:type="pct"/>
            <w:shd w:val="clear" w:color="auto" w:fill="FFFFFF"/>
            <w:tcMar>
              <w:top w:w="150" w:type="dxa"/>
              <w:left w:w="150" w:type="dxa"/>
              <w:bottom w:w="150" w:type="dxa"/>
              <w:right w:w="150" w:type="dxa"/>
            </w:tcMar>
            <w:hideMark/>
          </w:tcPr>
          <w:p w14:paraId="1465A985" w14:textId="77777777" w:rsidR="00841364" w:rsidRPr="00704344" w:rsidRDefault="00841364">
            <w:pPr>
              <w:rPr>
                <w:color w:val="1A1816"/>
                <w:sz w:val="16"/>
                <w:szCs w:val="16"/>
              </w:rPr>
            </w:pPr>
            <w:r w:rsidRPr="00704344">
              <w:rPr>
                <w:color w:val="1A1816"/>
                <w:sz w:val="16"/>
                <w:szCs w:val="16"/>
              </w:rPr>
              <w:t>128GB</w:t>
            </w:r>
          </w:p>
        </w:tc>
        <w:tc>
          <w:tcPr>
            <w:tcW w:w="1448" w:type="pct"/>
            <w:shd w:val="clear" w:color="auto" w:fill="FFFFFF"/>
            <w:tcMar>
              <w:top w:w="150" w:type="dxa"/>
              <w:left w:w="150" w:type="dxa"/>
              <w:bottom w:w="150" w:type="dxa"/>
              <w:right w:w="150" w:type="dxa"/>
            </w:tcMar>
            <w:hideMark/>
          </w:tcPr>
          <w:p w14:paraId="1B251269" w14:textId="77777777" w:rsidR="00841364" w:rsidRPr="00704344" w:rsidRDefault="00841364">
            <w:pPr>
              <w:rPr>
                <w:color w:val="1A1816"/>
                <w:sz w:val="16"/>
                <w:szCs w:val="16"/>
              </w:rPr>
            </w:pPr>
            <w:r w:rsidRPr="00704344">
              <w:rPr>
                <w:color w:val="1A1816"/>
                <w:sz w:val="16"/>
                <w:szCs w:val="16"/>
              </w:rPr>
              <w:t>Yes</w:t>
            </w:r>
          </w:p>
        </w:tc>
      </w:tr>
      <w:tr w:rsidR="00841364" w:rsidRPr="00704344" w14:paraId="2E84D570" w14:textId="77777777" w:rsidTr="00841364">
        <w:tc>
          <w:tcPr>
            <w:tcW w:w="1942" w:type="pct"/>
            <w:shd w:val="clear" w:color="auto" w:fill="FFFFFF"/>
            <w:tcMar>
              <w:top w:w="150" w:type="dxa"/>
              <w:left w:w="150" w:type="dxa"/>
              <w:bottom w:w="150" w:type="dxa"/>
              <w:right w:w="150" w:type="dxa"/>
            </w:tcMar>
            <w:hideMark/>
          </w:tcPr>
          <w:p w14:paraId="4901DE50" w14:textId="77777777" w:rsidR="00841364" w:rsidRPr="00704344" w:rsidRDefault="00841364">
            <w:pPr>
              <w:rPr>
                <w:color w:val="1A1816"/>
                <w:sz w:val="16"/>
                <w:szCs w:val="16"/>
              </w:rPr>
            </w:pPr>
            <w:r w:rsidRPr="00704344">
              <w:rPr>
                <w:color w:val="1A1816"/>
                <w:sz w:val="16"/>
                <w:szCs w:val="16"/>
              </w:rPr>
              <w:t>Cache Manager</w:t>
            </w:r>
          </w:p>
        </w:tc>
        <w:tc>
          <w:tcPr>
            <w:tcW w:w="1610" w:type="pct"/>
            <w:shd w:val="clear" w:color="auto" w:fill="FFFFFF"/>
            <w:tcMar>
              <w:top w:w="150" w:type="dxa"/>
              <w:left w:w="150" w:type="dxa"/>
              <w:bottom w:w="150" w:type="dxa"/>
              <w:right w:w="150" w:type="dxa"/>
            </w:tcMar>
            <w:hideMark/>
          </w:tcPr>
          <w:p w14:paraId="67BA84FE" w14:textId="77777777" w:rsidR="00841364" w:rsidRPr="00704344" w:rsidRDefault="00841364">
            <w:pPr>
              <w:rPr>
                <w:color w:val="1A1816"/>
                <w:sz w:val="16"/>
                <w:szCs w:val="16"/>
              </w:rPr>
            </w:pPr>
            <w:r w:rsidRPr="00704344">
              <w:rPr>
                <w:color w:val="1A1816"/>
                <w:sz w:val="16"/>
                <w:szCs w:val="16"/>
              </w:rPr>
              <w:t>128GB</w:t>
            </w:r>
          </w:p>
        </w:tc>
        <w:tc>
          <w:tcPr>
            <w:tcW w:w="1448" w:type="pct"/>
            <w:shd w:val="clear" w:color="auto" w:fill="FFFFFF"/>
            <w:tcMar>
              <w:top w:w="150" w:type="dxa"/>
              <w:left w:w="150" w:type="dxa"/>
              <w:bottom w:w="150" w:type="dxa"/>
              <w:right w:w="150" w:type="dxa"/>
            </w:tcMar>
            <w:hideMark/>
          </w:tcPr>
          <w:p w14:paraId="798CED9F" w14:textId="77777777" w:rsidR="00841364" w:rsidRPr="00704344" w:rsidRDefault="00841364">
            <w:pPr>
              <w:rPr>
                <w:color w:val="1A1816"/>
                <w:sz w:val="16"/>
                <w:szCs w:val="16"/>
              </w:rPr>
            </w:pPr>
            <w:r w:rsidRPr="00704344">
              <w:rPr>
                <w:color w:val="1A1816"/>
                <w:sz w:val="16"/>
                <w:szCs w:val="16"/>
              </w:rPr>
              <w:t>Yes</w:t>
            </w:r>
          </w:p>
        </w:tc>
      </w:tr>
    </w:tbl>
    <w:p w14:paraId="38FCFA16"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For pricing details on block storage, please refer to </w:t>
      </w:r>
      <w:hyperlink r:id="rId7" w:tgtFrame="_blank" w:history="1">
        <w:r w:rsidRPr="00704344">
          <w:rPr>
            <w:rStyle w:val="Hyperlink"/>
            <w:rFonts w:ascii="Segoe UI" w:hAnsi="Segoe UI" w:cs="Segoe UI"/>
            <w:color w:val="00688C"/>
            <w:sz w:val="16"/>
            <w:szCs w:val="16"/>
          </w:rPr>
          <w:t>Oracle Storage Cloud Pricing</w:t>
        </w:r>
      </w:hyperlink>
      <w:r w:rsidRPr="00704344">
        <w:rPr>
          <w:rFonts w:ascii="Segoe UI" w:hAnsi="Segoe UI" w:cs="Segoe UI"/>
          <w:color w:val="1A1816"/>
          <w:sz w:val="16"/>
          <w:szCs w:val="16"/>
        </w:rPr>
        <w:t>.</w:t>
      </w:r>
    </w:p>
    <w:p w14:paraId="1833062F" w14:textId="306B633A" w:rsidR="00841364" w:rsidRPr="00704344" w:rsidRDefault="00841364" w:rsidP="00841364">
      <w:pPr>
        <w:pStyle w:val="Kop3"/>
        <w:shd w:val="clear" w:color="auto" w:fill="FCFBFA"/>
        <w:spacing w:before="300" w:after="150"/>
        <w:rPr>
          <w:rStyle w:val="enumerationsection"/>
          <w:rFonts w:ascii="inherit" w:hAnsi="inherit" w:cs="Segoe UI"/>
          <w:b/>
          <w:bCs/>
          <w:color w:val="1A1816"/>
          <w:sz w:val="16"/>
          <w:szCs w:val="16"/>
        </w:rPr>
      </w:pPr>
      <w:bookmarkStart w:id="1" w:name="GUID-1587D0B6-72F1-4CD7-8BB9-FE9CEF271C4"/>
      <w:bookmarkEnd w:id="1"/>
    </w:p>
    <w:p w14:paraId="22CA6C8F" w14:textId="4AB35E2D" w:rsidR="00841364" w:rsidRPr="00704344" w:rsidRDefault="00841364" w:rsidP="00841364">
      <w:pPr>
        <w:rPr>
          <w:sz w:val="16"/>
          <w:szCs w:val="16"/>
        </w:rPr>
      </w:pPr>
    </w:p>
    <w:p w14:paraId="5E30AEFA" w14:textId="77777777" w:rsidR="00841364" w:rsidRPr="00704344" w:rsidRDefault="00841364" w:rsidP="00841364">
      <w:pPr>
        <w:rPr>
          <w:sz w:val="16"/>
          <w:szCs w:val="16"/>
        </w:rPr>
      </w:pPr>
    </w:p>
    <w:p w14:paraId="052DACD4" w14:textId="77777777" w:rsidR="00841364" w:rsidRPr="00704344" w:rsidRDefault="00841364" w:rsidP="00841364">
      <w:pPr>
        <w:pStyle w:val="Kop3"/>
        <w:shd w:val="clear" w:color="auto" w:fill="FCFBFA"/>
        <w:spacing w:before="300" w:after="150"/>
        <w:rPr>
          <w:rStyle w:val="enumerationsection"/>
          <w:rFonts w:ascii="inherit" w:hAnsi="inherit" w:cs="Segoe UI"/>
          <w:b/>
          <w:bCs/>
          <w:color w:val="1A1816"/>
          <w:sz w:val="16"/>
          <w:szCs w:val="16"/>
        </w:rPr>
      </w:pPr>
    </w:p>
    <w:p w14:paraId="3281C557" w14:textId="77777777" w:rsidR="00841364" w:rsidRPr="00704344" w:rsidRDefault="00841364" w:rsidP="00841364">
      <w:pPr>
        <w:pStyle w:val="Kop3"/>
        <w:shd w:val="clear" w:color="auto" w:fill="FCFBFA"/>
        <w:spacing w:before="300" w:after="150"/>
        <w:rPr>
          <w:rStyle w:val="enumerationsection"/>
          <w:rFonts w:ascii="inherit" w:hAnsi="inherit" w:cs="Segoe UI"/>
          <w:b/>
          <w:bCs/>
          <w:color w:val="1A1816"/>
          <w:sz w:val="16"/>
          <w:szCs w:val="16"/>
        </w:rPr>
      </w:pPr>
    </w:p>
    <w:p w14:paraId="5C12F402" w14:textId="377C727F" w:rsidR="00841364" w:rsidRPr="00704344" w:rsidRDefault="00841364" w:rsidP="00841364">
      <w:pPr>
        <w:pStyle w:val="Kop3"/>
        <w:shd w:val="clear" w:color="auto" w:fill="FCFBFA"/>
        <w:spacing w:before="300" w:after="150"/>
        <w:rPr>
          <w:rFonts w:ascii="inherit" w:hAnsi="inherit" w:cs="Segoe UI"/>
          <w:color w:val="1A1816"/>
          <w:sz w:val="16"/>
          <w:szCs w:val="16"/>
        </w:rPr>
      </w:pPr>
      <w:r w:rsidRPr="00704344">
        <w:rPr>
          <w:rStyle w:val="enumerationsection"/>
          <w:rFonts w:ascii="inherit" w:hAnsi="inherit" w:cs="Segoe UI"/>
          <w:b/>
          <w:bCs/>
          <w:color w:val="1A1816"/>
          <w:sz w:val="16"/>
          <w:szCs w:val="16"/>
        </w:rPr>
        <w:t>1.3 </w:t>
      </w:r>
      <w:r w:rsidRPr="00704344">
        <w:rPr>
          <w:rFonts w:ascii="inherit" w:hAnsi="inherit" w:cs="Segoe UI"/>
          <w:b/>
          <w:bCs/>
          <w:color w:val="1A1816"/>
          <w:sz w:val="16"/>
          <w:szCs w:val="16"/>
        </w:rPr>
        <w:t>Cross Cloud Functionality</w:t>
      </w:r>
    </w:p>
    <w:p w14:paraId="5E27DEA5"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 xml:space="preserve">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is designed for large scale, cloud based architectures and 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on Oracle Cloud Marketplace is a key to many cloud-based solutions. By using 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from the Oracle Cloud Marketplace, you can replicate data from on premise to the Oracle Cloud, between data points within the Oracle Cloud, or even between third party clouds.</w:t>
      </w:r>
    </w:p>
    <w:p w14:paraId="3A954BB0" w14:textId="77777777" w:rsidR="00841364" w:rsidRPr="00704344" w:rsidRDefault="00841364" w:rsidP="00841364">
      <w:pPr>
        <w:pStyle w:val="Normaalweb"/>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 xml:space="preserve">The following table provides a matrix on cross cloud support for replication by using Oracle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on the Oracle Cloud Marketplace:</w:t>
      </w:r>
    </w:p>
    <w:p w14:paraId="0C85806C" w14:textId="77777777" w:rsidR="00841364" w:rsidRPr="00704344" w:rsidRDefault="00841364" w:rsidP="00841364">
      <w:pPr>
        <w:pStyle w:val="titleintable"/>
        <w:shd w:val="clear" w:color="auto" w:fill="FCFBFA"/>
        <w:spacing w:before="210" w:beforeAutospacing="0" w:after="210" w:afterAutospacing="0"/>
        <w:rPr>
          <w:rFonts w:ascii="Segoe UI" w:hAnsi="Segoe UI" w:cs="Segoe UI"/>
          <w:color w:val="1A1816"/>
          <w:sz w:val="16"/>
          <w:szCs w:val="16"/>
        </w:rPr>
      </w:pPr>
      <w:r w:rsidRPr="00704344">
        <w:rPr>
          <w:rFonts w:ascii="Segoe UI" w:hAnsi="Segoe UI" w:cs="Segoe UI"/>
          <w:color w:val="1A1816"/>
          <w:sz w:val="16"/>
          <w:szCs w:val="16"/>
        </w:rPr>
        <w:t xml:space="preserve">Table 1-1 </w:t>
      </w:r>
      <w:proofErr w:type="spellStart"/>
      <w:r w:rsidRPr="00704344">
        <w:rPr>
          <w:rFonts w:ascii="Segoe UI" w:hAnsi="Segoe UI" w:cs="Segoe UI"/>
          <w:color w:val="1A1816"/>
          <w:sz w:val="16"/>
          <w:szCs w:val="16"/>
        </w:rPr>
        <w:t>GoldenGate</w:t>
      </w:r>
      <w:proofErr w:type="spellEnd"/>
      <w:r w:rsidRPr="00704344">
        <w:rPr>
          <w:rFonts w:ascii="Segoe UI" w:hAnsi="Segoe UI" w:cs="Segoe UI"/>
          <w:color w:val="1A1816"/>
          <w:sz w:val="16"/>
          <w:szCs w:val="16"/>
        </w:rPr>
        <w:t xml:space="preserve"> Cross-Cloud Support</w:t>
      </w:r>
    </w:p>
    <w:tbl>
      <w:tblPr>
        <w:tblW w:w="5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Caption w:val="GoldenGate Cross-Cloud Support"/>
        <w:tblDescription w:val="This table helps you to understand the GoldenGate Cross-Cloud Support."/>
      </w:tblPr>
      <w:tblGrid>
        <w:gridCol w:w="2705"/>
        <w:gridCol w:w="1557"/>
        <w:gridCol w:w="1417"/>
      </w:tblGrid>
      <w:tr w:rsidR="00841364" w:rsidRPr="00704344" w14:paraId="555CA9AB" w14:textId="77777777" w:rsidTr="00841364">
        <w:trPr>
          <w:trHeight w:val="570"/>
          <w:tblHeader/>
        </w:trPr>
        <w:tc>
          <w:tcPr>
            <w:tcW w:w="2381" w:type="pct"/>
            <w:shd w:val="clear" w:color="auto" w:fill="F8F7F4"/>
            <w:tcMar>
              <w:top w:w="150" w:type="dxa"/>
              <w:left w:w="150" w:type="dxa"/>
              <w:bottom w:w="150" w:type="dxa"/>
              <w:right w:w="150" w:type="dxa"/>
            </w:tcMar>
            <w:vAlign w:val="bottom"/>
            <w:hideMark/>
          </w:tcPr>
          <w:p w14:paraId="789C6EC5" w14:textId="77777777" w:rsidR="00841364" w:rsidRPr="00704344" w:rsidRDefault="00841364">
            <w:pPr>
              <w:rPr>
                <w:rFonts w:ascii="Times New Roman" w:hAnsi="Times New Roman" w:cs="Times New Roman"/>
                <w:b/>
                <w:bCs/>
                <w:color w:val="1A1816"/>
                <w:sz w:val="16"/>
                <w:szCs w:val="16"/>
              </w:rPr>
            </w:pPr>
            <w:r w:rsidRPr="00704344">
              <w:rPr>
                <w:b/>
                <w:bCs/>
                <w:color w:val="1A1816"/>
                <w:sz w:val="16"/>
                <w:szCs w:val="16"/>
              </w:rPr>
              <w:t>Technology</w:t>
            </w:r>
          </w:p>
        </w:tc>
        <w:tc>
          <w:tcPr>
            <w:tcW w:w="1371" w:type="pct"/>
            <w:shd w:val="clear" w:color="auto" w:fill="F8F7F4"/>
            <w:tcMar>
              <w:top w:w="150" w:type="dxa"/>
              <w:left w:w="150" w:type="dxa"/>
              <w:bottom w:w="150" w:type="dxa"/>
              <w:right w:w="150" w:type="dxa"/>
            </w:tcMar>
            <w:vAlign w:val="bottom"/>
            <w:hideMark/>
          </w:tcPr>
          <w:p w14:paraId="24527CF8" w14:textId="77777777" w:rsidR="00841364" w:rsidRPr="00704344" w:rsidRDefault="00841364">
            <w:pPr>
              <w:rPr>
                <w:b/>
                <w:bCs/>
                <w:color w:val="1A1816"/>
                <w:sz w:val="16"/>
                <w:szCs w:val="16"/>
              </w:rPr>
            </w:pPr>
            <w:r w:rsidRPr="00704344">
              <w:rPr>
                <w:b/>
                <w:bCs/>
                <w:color w:val="1A1816"/>
                <w:sz w:val="16"/>
                <w:szCs w:val="16"/>
              </w:rPr>
              <w:t>Remote Capture</w:t>
            </w:r>
          </w:p>
        </w:tc>
        <w:tc>
          <w:tcPr>
            <w:tcW w:w="1248" w:type="pct"/>
            <w:shd w:val="clear" w:color="auto" w:fill="F8F7F4"/>
            <w:tcMar>
              <w:top w:w="150" w:type="dxa"/>
              <w:left w:w="150" w:type="dxa"/>
              <w:bottom w:w="150" w:type="dxa"/>
              <w:right w:w="150" w:type="dxa"/>
            </w:tcMar>
            <w:vAlign w:val="bottom"/>
            <w:hideMark/>
          </w:tcPr>
          <w:p w14:paraId="0B91043F" w14:textId="77777777" w:rsidR="00841364" w:rsidRPr="00704344" w:rsidRDefault="00841364">
            <w:pPr>
              <w:rPr>
                <w:b/>
                <w:bCs/>
                <w:color w:val="1A1816"/>
                <w:sz w:val="16"/>
                <w:szCs w:val="16"/>
              </w:rPr>
            </w:pPr>
            <w:r w:rsidRPr="00704344">
              <w:rPr>
                <w:b/>
                <w:bCs/>
                <w:color w:val="1A1816"/>
                <w:sz w:val="16"/>
                <w:szCs w:val="16"/>
              </w:rPr>
              <w:t>Remote Apply</w:t>
            </w:r>
          </w:p>
        </w:tc>
      </w:tr>
      <w:tr w:rsidR="00841364" w:rsidRPr="00704344" w14:paraId="7F7C73DC" w14:textId="77777777" w:rsidTr="00841364">
        <w:tc>
          <w:tcPr>
            <w:tcW w:w="2381" w:type="pct"/>
            <w:shd w:val="clear" w:color="auto" w:fill="FFFFFF"/>
            <w:tcMar>
              <w:top w:w="150" w:type="dxa"/>
              <w:left w:w="150" w:type="dxa"/>
              <w:bottom w:w="150" w:type="dxa"/>
              <w:right w:w="150" w:type="dxa"/>
            </w:tcMar>
            <w:hideMark/>
          </w:tcPr>
          <w:p w14:paraId="5EE5FB95"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Oracle Cloud</w:t>
            </w:r>
          </w:p>
        </w:tc>
        <w:tc>
          <w:tcPr>
            <w:tcW w:w="1371" w:type="pct"/>
            <w:shd w:val="clear" w:color="auto" w:fill="FFFFFF"/>
            <w:tcMar>
              <w:top w:w="150" w:type="dxa"/>
              <w:left w:w="150" w:type="dxa"/>
              <w:bottom w:w="150" w:type="dxa"/>
              <w:right w:w="150" w:type="dxa"/>
            </w:tcMar>
            <w:hideMark/>
          </w:tcPr>
          <w:p w14:paraId="37F163A3"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Yes</w:t>
            </w:r>
          </w:p>
        </w:tc>
        <w:tc>
          <w:tcPr>
            <w:tcW w:w="1248" w:type="pct"/>
            <w:shd w:val="clear" w:color="auto" w:fill="FFFFFF"/>
            <w:tcMar>
              <w:top w:w="150" w:type="dxa"/>
              <w:left w:w="150" w:type="dxa"/>
              <w:bottom w:w="150" w:type="dxa"/>
              <w:right w:w="150" w:type="dxa"/>
            </w:tcMar>
            <w:hideMark/>
          </w:tcPr>
          <w:p w14:paraId="42883C41"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Yes</w:t>
            </w:r>
          </w:p>
        </w:tc>
      </w:tr>
      <w:tr w:rsidR="00841364" w:rsidRPr="00704344" w14:paraId="6343D41A" w14:textId="77777777" w:rsidTr="00841364">
        <w:tc>
          <w:tcPr>
            <w:tcW w:w="2381" w:type="pct"/>
            <w:shd w:val="clear" w:color="auto" w:fill="FFFFFF"/>
            <w:tcMar>
              <w:top w:w="150" w:type="dxa"/>
              <w:left w:w="150" w:type="dxa"/>
              <w:bottom w:w="150" w:type="dxa"/>
              <w:right w:w="150" w:type="dxa"/>
            </w:tcMar>
            <w:hideMark/>
          </w:tcPr>
          <w:p w14:paraId="6475AE7D"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Amazon Web Services (AWS)</w:t>
            </w:r>
          </w:p>
        </w:tc>
        <w:tc>
          <w:tcPr>
            <w:tcW w:w="1371" w:type="pct"/>
            <w:shd w:val="clear" w:color="auto" w:fill="FFFFFF"/>
            <w:tcMar>
              <w:top w:w="150" w:type="dxa"/>
              <w:left w:w="150" w:type="dxa"/>
              <w:bottom w:w="150" w:type="dxa"/>
              <w:right w:w="150" w:type="dxa"/>
            </w:tcMar>
            <w:hideMark/>
          </w:tcPr>
          <w:p w14:paraId="11B3DD16"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Yes</w:t>
            </w:r>
          </w:p>
        </w:tc>
        <w:tc>
          <w:tcPr>
            <w:tcW w:w="1248" w:type="pct"/>
            <w:shd w:val="clear" w:color="auto" w:fill="FFFFFF"/>
            <w:tcMar>
              <w:top w:w="150" w:type="dxa"/>
              <w:left w:w="150" w:type="dxa"/>
              <w:bottom w:w="150" w:type="dxa"/>
              <w:right w:w="150" w:type="dxa"/>
            </w:tcMar>
            <w:hideMark/>
          </w:tcPr>
          <w:p w14:paraId="3C354925"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Yes</w:t>
            </w:r>
          </w:p>
        </w:tc>
      </w:tr>
      <w:tr w:rsidR="00841364" w:rsidRPr="00704344" w14:paraId="01108643" w14:textId="77777777" w:rsidTr="00841364">
        <w:tc>
          <w:tcPr>
            <w:tcW w:w="2381" w:type="pct"/>
            <w:shd w:val="clear" w:color="auto" w:fill="FFFFFF"/>
            <w:tcMar>
              <w:top w:w="150" w:type="dxa"/>
              <w:left w:w="150" w:type="dxa"/>
              <w:bottom w:w="150" w:type="dxa"/>
              <w:right w:w="150" w:type="dxa"/>
            </w:tcMar>
            <w:hideMark/>
          </w:tcPr>
          <w:p w14:paraId="3C2CC41C"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Microsoft Azure</w:t>
            </w:r>
          </w:p>
        </w:tc>
        <w:tc>
          <w:tcPr>
            <w:tcW w:w="1371" w:type="pct"/>
            <w:shd w:val="clear" w:color="auto" w:fill="FFFFFF"/>
            <w:tcMar>
              <w:top w:w="150" w:type="dxa"/>
              <w:left w:w="150" w:type="dxa"/>
              <w:bottom w:w="150" w:type="dxa"/>
              <w:right w:w="150" w:type="dxa"/>
            </w:tcMar>
            <w:hideMark/>
          </w:tcPr>
          <w:p w14:paraId="1C6C37C5"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Yes</w:t>
            </w:r>
          </w:p>
        </w:tc>
        <w:tc>
          <w:tcPr>
            <w:tcW w:w="1248" w:type="pct"/>
            <w:shd w:val="clear" w:color="auto" w:fill="FFFFFF"/>
            <w:tcMar>
              <w:top w:w="150" w:type="dxa"/>
              <w:left w:w="150" w:type="dxa"/>
              <w:bottom w:w="150" w:type="dxa"/>
              <w:right w:w="150" w:type="dxa"/>
            </w:tcMar>
            <w:hideMark/>
          </w:tcPr>
          <w:p w14:paraId="7EA452FC"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Yes</w:t>
            </w:r>
          </w:p>
        </w:tc>
      </w:tr>
      <w:tr w:rsidR="00841364" w:rsidRPr="00704344" w14:paraId="2E1323D6" w14:textId="77777777" w:rsidTr="00841364">
        <w:tc>
          <w:tcPr>
            <w:tcW w:w="2381" w:type="pct"/>
            <w:shd w:val="clear" w:color="auto" w:fill="FFFFFF"/>
            <w:tcMar>
              <w:top w:w="150" w:type="dxa"/>
              <w:left w:w="150" w:type="dxa"/>
              <w:bottom w:w="150" w:type="dxa"/>
              <w:right w:w="150" w:type="dxa"/>
            </w:tcMar>
            <w:hideMark/>
          </w:tcPr>
          <w:p w14:paraId="71FB5D6D"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Google Cloud</w:t>
            </w:r>
          </w:p>
        </w:tc>
        <w:tc>
          <w:tcPr>
            <w:tcW w:w="1371" w:type="pct"/>
            <w:shd w:val="clear" w:color="auto" w:fill="FFFFFF"/>
            <w:tcMar>
              <w:top w:w="150" w:type="dxa"/>
              <w:left w:w="150" w:type="dxa"/>
              <w:bottom w:w="150" w:type="dxa"/>
              <w:right w:w="150" w:type="dxa"/>
            </w:tcMar>
            <w:hideMark/>
          </w:tcPr>
          <w:p w14:paraId="533C1B6E"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Yes</w:t>
            </w:r>
          </w:p>
        </w:tc>
        <w:tc>
          <w:tcPr>
            <w:tcW w:w="1248" w:type="pct"/>
            <w:shd w:val="clear" w:color="auto" w:fill="FFFFFF"/>
            <w:tcMar>
              <w:top w:w="150" w:type="dxa"/>
              <w:left w:w="150" w:type="dxa"/>
              <w:bottom w:w="150" w:type="dxa"/>
              <w:right w:w="150" w:type="dxa"/>
            </w:tcMar>
            <w:hideMark/>
          </w:tcPr>
          <w:p w14:paraId="43F52181" w14:textId="77777777" w:rsidR="00841364" w:rsidRPr="00704344" w:rsidRDefault="00841364">
            <w:pPr>
              <w:pStyle w:val="Normaalweb"/>
              <w:spacing w:before="0" w:beforeAutospacing="0" w:after="0" w:afterAutospacing="0"/>
              <w:rPr>
                <w:color w:val="1A1816"/>
                <w:sz w:val="16"/>
                <w:szCs w:val="16"/>
              </w:rPr>
            </w:pPr>
            <w:r w:rsidRPr="00704344">
              <w:rPr>
                <w:color w:val="1A1816"/>
                <w:sz w:val="16"/>
                <w:szCs w:val="16"/>
              </w:rPr>
              <w:t>Yes</w:t>
            </w:r>
          </w:p>
        </w:tc>
      </w:tr>
    </w:tbl>
    <w:p w14:paraId="2041A5A8" w14:textId="6943E5BA" w:rsidR="00115B05" w:rsidRPr="00704344" w:rsidRDefault="00115B05">
      <w:pPr>
        <w:rPr>
          <w:sz w:val="16"/>
          <w:szCs w:val="16"/>
        </w:rPr>
      </w:pPr>
    </w:p>
    <w:p w14:paraId="6CD0FA97" w14:textId="282A73E2" w:rsidR="00841364" w:rsidRPr="00704344" w:rsidRDefault="00841364">
      <w:pPr>
        <w:rPr>
          <w:sz w:val="16"/>
          <w:szCs w:val="16"/>
        </w:rPr>
      </w:pPr>
    </w:p>
    <w:p w14:paraId="7FAC76D8" w14:textId="16584331" w:rsidR="00841364" w:rsidRPr="00704344" w:rsidRDefault="00841364">
      <w:pPr>
        <w:rPr>
          <w:sz w:val="16"/>
          <w:szCs w:val="16"/>
        </w:rPr>
      </w:pPr>
    </w:p>
    <w:p w14:paraId="2A7D58C2" w14:textId="77777777" w:rsidR="00841364" w:rsidRPr="00704344" w:rsidRDefault="00841364">
      <w:pPr>
        <w:rPr>
          <w:b/>
          <w:bCs/>
          <w:color w:val="FF0000"/>
          <w:sz w:val="16"/>
          <w:szCs w:val="16"/>
        </w:rPr>
      </w:pPr>
    </w:p>
    <w:p w14:paraId="3F1A1BFB" w14:textId="77777777" w:rsidR="00841364" w:rsidRPr="00704344" w:rsidRDefault="00841364">
      <w:pPr>
        <w:rPr>
          <w:b/>
          <w:bCs/>
          <w:color w:val="FF0000"/>
          <w:sz w:val="16"/>
          <w:szCs w:val="16"/>
        </w:rPr>
      </w:pPr>
    </w:p>
    <w:p w14:paraId="6E983B93" w14:textId="77777777" w:rsidR="00841364" w:rsidRPr="00704344" w:rsidRDefault="00841364">
      <w:pPr>
        <w:rPr>
          <w:b/>
          <w:bCs/>
          <w:color w:val="FF0000"/>
          <w:sz w:val="16"/>
          <w:szCs w:val="16"/>
        </w:rPr>
      </w:pPr>
    </w:p>
    <w:p w14:paraId="6830A7BA" w14:textId="77777777" w:rsidR="00841364" w:rsidRPr="00704344" w:rsidRDefault="00841364">
      <w:pPr>
        <w:rPr>
          <w:b/>
          <w:bCs/>
          <w:color w:val="FF0000"/>
          <w:sz w:val="16"/>
          <w:szCs w:val="16"/>
        </w:rPr>
      </w:pPr>
    </w:p>
    <w:p w14:paraId="5837B22B" w14:textId="77777777" w:rsidR="00841364" w:rsidRPr="00704344" w:rsidRDefault="00841364">
      <w:pPr>
        <w:rPr>
          <w:b/>
          <w:bCs/>
          <w:color w:val="FF0000"/>
          <w:sz w:val="16"/>
          <w:szCs w:val="16"/>
        </w:rPr>
      </w:pPr>
    </w:p>
    <w:p w14:paraId="5316790E" w14:textId="2D9F6D7A" w:rsidR="00841364" w:rsidRPr="00704344" w:rsidRDefault="00841364">
      <w:pPr>
        <w:rPr>
          <w:b/>
          <w:bCs/>
          <w:color w:val="FF0000"/>
          <w:sz w:val="16"/>
          <w:szCs w:val="16"/>
        </w:rPr>
      </w:pPr>
      <w:r w:rsidRPr="00704344">
        <w:rPr>
          <w:b/>
          <w:bCs/>
          <w:color w:val="FF0000"/>
          <w:sz w:val="16"/>
          <w:szCs w:val="16"/>
        </w:rPr>
        <w:t>OCI-PRICING:</w:t>
      </w:r>
    </w:p>
    <w:p w14:paraId="5AF46AED" w14:textId="77777777" w:rsidR="00B62D4A" w:rsidRPr="00704344" w:rsidRDefault="00B62D4A" w:rsidP="00B62D4A">
      <w:pPr>
        <w:shd w:val="clear" w:color="auto" w:fill="FBF9F8"/>
        <w:spacing w:after="36" w:line="240" w:lineRule="auto"/>
        <w:outlineLvl w:val="1"/>
        <w:rPr>
          <w:rFonts w:ascii="Segoe UI" w:eastAsia="Times New Roman" w:hAnsi="Segoe UI" w:cs="Segoe UI"/>
          <w:b/>
          <w:bCs/>
          <w:color w:val="000000"/>
          <w:sz w:val="16"/>
          <w:szCs w:val="16"/>
          <w:lang w:val="en-NL" w:eastAsia="en-NL"/>
        </w:rPr>
      </w:pPr>
      <w:r w:rsidRPr="00704344">
        <w:rPr>
          <w:rFonts w:ascii="Segoe UI" w:eastAsia="Times New Roman" w:hAnsi="Segoe UI" w:cs="Segoe UI"/>
          <w:b/>
          <w:bCs/>
          <w:color w:val="000000"/>
          <w:sz w:val="16"/>
          <w:szCs w:val="16"/>
          <w:lang w:val="en-NL" w:eastAsia="en-NL"/>
        </w:rPr>
        <w:t>Compute - Virtual Machine Instances</w:t>
      </w:r>
    </w:p>
    <w:p w14:paraId="6DB6F4EA" w14:textId="77777777" w:rsidR="00B62D4A" w:rsidRPr="00704344" w:rsidRDefault="00704344" w:rsidP="00B62D4A">
      <w:pPr>
        <w:shd w:val="clear" w:color="auto" w:fill="FBF9F8"/>
        <w:spacing w:after="192" w:line="240" w:lineRule="auto"/>
        <w:rPr>
          <w:rFonts w:ascii="Segoe UI" w:eastAsia="Times New Roman" w:hAnsi="Segoe UI" w:cs="Segoe UI"/>
          <w:color w:val="000000"/>
          <w:sz w:val="16"/>
          <w:szCs w:val="16"/>
          <w:lang w:val="en-NL" w:eastAsia="en-NL"/>
        </w:rPr>
      </w:pPr>
      <w:hyperlink r:id="rId8" w:tgtFrame="_blank" w:history="1">
        <w:r w:rsidR="00B62D4A" w:rsidRPr="00704344">
          <w:rPr>
            <w:rFonts w:ascii="inherit" w:eastAsia="Times New Roman" w:hAnsi="inherit" w:cs="Segoe UI"/>
            <w:color w:val="0000FF"/>
            <w:sz w:val="16"/>
            <w:szCs w:val="16"/>
            <w:u w:val="single"/>
            <w:bdr w:val="none" w:sz="0" w:space="0" w:color="auto" w:frame="1"/>
            <w:shd w:val="clear" w:color="auto" w:fill="6F915D"/>
            <w:lang w:val="en-NL" w:eastAsia="en-NL"/>
          </w:rPr>
          <w:t>Cost Estimator</w:t>
        </w:r>
      </w:hyperlink>
    </w:p>
    <w:tbl>
      <w:tblPr>
        <w:tblW w:w="8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94"/>
        <w:gridCol w:w="1701"/>
        <w:gridCol w:w="1842"/>
      </w:tblGrid>
      <w:tr w:rsidR="00B62D4A" w:rsidRPr="00704344" w14:paraId="593314BC" w14:textId="77777777" w:rsidTr="00B62D4A">
        <w:trPr>
          <w:tblHeader/>
        </w:trPr>
        <w:tc>
          <w:tcPr>
            <w:tcW w:w="5294" w:type="dxa"/>
            <w:tcMar>
              <w:top w:w="332" w:type="dxa"/>
              <w:left w:w="332" w:type="dxa"/>
              <w:bottom w:w="332" w:type="dxa"/>
              <w:right w:w="332" w:type="dxa"/>
            </w:tcMar>
            <w:vAlign w:val="center"/>
            <w:hideMark/>
          </w:tcPr>
          <w:p w14:paraId="1EDEA7A7"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Product</w:t>
            </w:r>
          </w:p>
        </w:tc>
        <w:tc>
          <w:tcPr>
            <w:tcW w:w="1701" w:type="dxa"/>
            <w:tcMar>
              <w:top w:w="332" w:type="dxa"/>
              <w:left w:w="332" w:type="dxa"/>
              <w:bottom w:w="332" w:type="dxa"/>
              <w:right w:w="332" w:type="dxa"/>
            </w:tcMar>
            <w:vAlign w:val="center"/>
            <w:hideMark/>
          </w:tcPr>
          <w:p w14:paraId="5ED261D8"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Unit Price</w:t>
            </w:r>
          </w:p>
        </w:tc>
        <w:tc>
          <w:tcPr>
            <w:tcW w:w="1842" w:type="dxa"/>
            <w:tcMar>
              <w:top w:w="332" w:type="dxa"/>
              <w:left w:w="332" w:type="dxa"/>
              <w:bottom w:w="332" w:type="dxa"/>
              <w:right w:w="332" w:type="dxa"/>
            </w:tcMar>
            <w:vAlign w:val="center"/>
            <w:hideMark/>
          </w:tcPr>
          <w:p w14:paraId="480093CE"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Metric</w:t>
            </w:r>
          </w:p>
        </w:tc>
      </w:tr>
      <w:tr w:rsidR="00B62D4A" w:rsidRPr="00704344" w14:paraId="4134F210" w14:textId="77777777" w:rsidTr="00B62D4A">
        <w:tc>
          <w:tcPr>
            <w:tcW w:w="5294" w:type="dxa"/>
            <w:tcMar>
              <w:top w:w="240" w:type="dxa"/>
              <w:left w:w="240" w:type="dxa"/>
              <w:bottom w:w="240" w:type="dxa"/>
              <w:right w:w="240" w:type="dxa"/>
            </w:tcMar>
            <w:vAlign w:val="center"/>
            <w:hideMark/>
          </w:tcPr>
          <w:p w14:paraId="17AF5467"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Virtual Machine Standard - X7</w:t>
            </w:r>
          </w:p>
        </w:tc>
        <w:tc>
          <w:tcPr>
            <w:tcW w:w="1701" w:type="dxa"/>
            <w:tcMar>
              <w:top w:w="240" w:type="dxa"/>
              <w:left w:w="240" w:type="dxa"/>
              <w:bottom w:w="240" w:type="dxa"/>
              <w:right w:w="240" w:type="dxa"/>
            </w:tcMar>
            <w:vAlign w:val="center"/>
            <w:hideMark/>
          </w:tcPr>
          <w:p w14:paraId="3C45C0A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0,05729878 €</w:t>
            </w:r>
          </w:p>
        </w:tc>
        <w:tc>
          <w:tcPr>
            <w:tcW w:w="1842" w:type="dxa"/>
            <w:tcMar>
              <w:top w:w="240" w:type="dxa"/>
              <w:left w:w="240" w:type="dxa"/>
              <w:bottom w:w="240" w:type="dxa"/>
              <w:right w:w="240" w:type="dxa"/>
            </w:tcMar>
            <w:vAlign w:val="center"/>
            <w:hideMark/>
          </w:tcPr>
          <w:p w14:paraId="5AFD4460"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3B1599BE" w14:textId="77777777" w:rsidTr="00B62D4A">
        <w:tc>
          <w:tcPr>
            <w:tcW w:w="5294" w:type="dxa"/>
            <w:tcMar>
              <w:top w:w="240" w:type="dxa"/>
              <w:left w:w="240" w:type="dxa"/>
              <w:bottom w:w="240" w:type="dxa"/>
              <w:right w:w="240" w:type="dxa"/>
            </w:tcMar>
            <w:vAlign w:val="center"/>
            <w:hideMark/>
          </w:tcPr>
          <w:p w14:paraId="27372BD4"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Virtual Machine Dense I/O - X7</w:t>
            </w:r>
          </w:p>
        </w:tc>
        <w:tc>
          <w:tcPr>
            <w:tcW w:w="1701" w:type="dxa"/>
            <w:tcMar>
              <w:top w:w="240" w:type="dxa"/>
              <w:left w:w="240" w:type="dxa"/>
              <w:bottom w:w="240" w:type="dxa"/>
              <w:right w:w="240" w:type="dxa"/>
            </w:tcMar>
            <w:vAlign w:val="center"/>
            <w:hideMark/>
          </w:tcPr>
          <w:p w14:paraId="0A991998"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0,11450775 €</w:t>
            </w:r>
          </w:p>
        </w:tc>
        <w:tc>
          <w:tcPr>
            <w:tcW w:w="1842" w:type="dxa"/>
            <w:tcMar>
              <w:top w:w="240" w:type="dxa"/>
              <w:left w:w="240" w:type="dxa"/>
              <w:bottom w:w="240" w:type="dxa"/>
              <w:right w:w="240" w:type="dxa"/>
            </w:tcMar>
            <w:vAlign w:val="center"/>
            <w:hideMark/>
          </w:tcPr>
          <w:p w14:paraId="2E778AD3"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2A97B7E0" w14:textId="77777777" w:rsidTr="00B62D4A">
        <w:tc>
          <w:tcPr>
            <w:tcW w:w="5294" w:type="dxa"/>
            <w:tcMar>
              <w:top w:w="240" w:type="dxa"/>
              <w:left w:w="240" w:type="dxa"/>
              <w:bottom w:w="240" w:type="dxa"/>
              <w:right w:w="240" w:type="dxa"/>
            </w:tcMar>
            <w:vAlign w:val="center"/>
            <w:hideMark/>
          </w:tcPr>
          <w:p w14:paraId="46B7E6BD"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Standard - E3 - OCPU</w:t>
            </w:r>
          </w:p>
        </w:tc>
        <w:tc>
          <w:tcPr>
            <w:tcW w:w="1701" w:type="dxa"/>
            <w:tcMar>
              <w:top w:w="240" w:type="dxa"/>
              <w:left w:w="240" w:type="dxa"/>
              <w:bottom w:w="240" w:type="dxa"/>
              <w:right w:w="240" w:type="dxa"/>
            </w:tcMar>
            <w:vAlign w:val="center"/>
            <w:hideMark/>
          </w:tcPr>
          <w:p w14:paraId="181BBCE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0,0224525 €</w:t>
            </w:r>
          </w:p>
        </w:tc>
        <w:tc>
          <w:tcPr>
            <w:tcW w:w="1842" w:type="dxa"/>
            <w:tcMar>
              <w:top w:w="240" w:type="dxa"/>
              <w:left w:w="240" w:type="dxa"/>
              <w:bottom w:w="240" w:type="dxa"/>
              <w:right w:w="240" w:type="dxa"/>
            </w:tcMar>
            <w:vAlign w:val="center"/>
            <w:hideMark/>
          </w:tcPr>
          <w:p w14:paraId="7B2A8E08"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587493E4" w14:textId="77777777" w:rsidTr="00B62D4A">
        <w:tc>
          <w:tcPr>
            <w:tcW w:w="5294" w:type="dxa"/>
            <w:tcMar>
              <w:top w:w="240" w:type="dxa"/>
              <w:left w:w="240" w:type="dxa"/>
              <w:bottom w:w="240" w:type="dxa"/>
              <w:right w:w="240" w:type="dxa"/>
            </w:tcMar>
            <w:vAlign w:val="center"/>
            <w:hideMark/>
          </w:tcPr>
          <w:p w14:paraId="1975E6AB"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Standard - E3 - Memory</w:t>
            </w:r>
          </w:p>
        </w:tc>
        <w:tc>
          <w:tcPr>
            <w:tcW w:w="1701" w:type="dxa"/>
            <w:tcMar>
              <w:top w:w="240" w:type="dxa"/>
              <w:left w:w="240" w:type="dxa"/>
              <w:bottom w:w="240" w:type="dxa"/>
              <w:right w:w="240" w:type="dxa"/>
            </w:tcMar>
            <w:vAlign w:val="center"/>
            <w:hideMark/>
          </w:tcPr>
          <w:p w14:paraId="5B1EDCE0"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0,00134715 €</w:t>
            </w:r>
          </w:p>
        </w:tc>
        <w:tc>
          <w:tcPr>
            <w:tcW w:w="1842" w:type="dxa"/>
            <w:tcMar>
              <w:top w:w="240" w:type="dxa"/>
              <w:left w:w="240" w:type="dxa"/>
              <w:bottom w:w="240" w:type="dxa"/>
              <w:right w:w="240" w:type="dxa"/>
            </w:tcMar>
            <w:vAlign w:val="center"/>
            <w:hideMark/>
          </w:tcPr>
          <w:p w14:paraId="4A0C6467"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Gigabytes Per Hour</w:t>
            </w:r>
          </w:p>
        </w:tc>
      </w:tr>
      <w:tr w:rsidR="00B62D4A" w:rsidRPr="00704344" w14:paraId="7F851674" w14:textId="77777777" w:rsidTr="00B62D4A">
        <w:tc>
          <w:tcPr>
            <w:tcW w:w="5294" w:type="dxa"/>
            <w:tcMar>
              <w:top w:w="240" w:type="dxa"/>
              <w:left w:w="240" w:type="dxa"/>
              <w:bottom w:w="240" w:type="dxa"/>
              <w:right w:w="240" w:type="dxa"/>
            </w:tcMar>
            <w:vAlign w:val="center"/>
            <w:hideMark/>
          </w:tcPr>
          <w:p w14:paraId="0B5A6ED1"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Virtual Machine Standard - E2 Micro - Free</w:t>
            </w:r>
          </w:p>
        </w:tc>
        <w:tc>
          <w:tcPr>
            <w:tcW w:w="1701" w:type="dxa"/>
            <w:tcMar>
              <w:top w:w="240" w:type="dxa"/>
              <w:left w:w="240" w:type="dxa"/>
              <w:bottom w:w="240" w:type="dxa"/>
              <w:right w:w="240" w:type="dxa"/>
            </w:tcMar>
            <w:vAlign w:val="center"/>
            <w:hideMark/>
          </w:tcPr>
          <w:p w14:paraId="275A0B5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Free</w:t>
            </w:r>
          </w:p>
        </w:tc>
        <w:tc>
          <w:tcPr>
            <w:tcW w:w="1842" w:type="dxa"/>
            <w:tcMar>
              <w:top w:w="240" w:type="dxa"/>
              <w:left w:w="240" w:type="dxa"/>
              <w:bottom w:w="240" w:type="dxa"/>
              <w:right w:w="240" w:type="dxa"/>
            </w:tcMar>
            <w:vAlign w:val="center"/>
            <w:hideMark/>
          </w:tcPr>
          <w:p w14:paraId="4472B48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26ED9019" w14:textId="77777777" w:rsidTr="00B62D4A">
        <w:tc>
          <w:tcPr>
            <w:tcW w:w="5294" w:type="dxa"/>
            <w:tcMar>
              <w:top w:w="240" w:type="dxa"/>
              <w:left w:w="240" w:type="dxa"/>
              <w:bottom w:w="240" w:type="dxa"/>
              <w:right w:w="240" w:type="dxa"/>
            </w:tcMar>
            <w:vAlign w:val="center"/>
            <w:hideMark/>
          </w:tcPr>
          <w:p w14:paraId="2FBB57CD"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Standard - E2</w:t>
            </w:r>
          </w:p>
        </w:tc>
        <w:tc>
          <w:tcPr>
            <w:tcW w:w="1701" w:type="dxa"/>
            <w:tcMar>
              <w:top w:w="240" w:type="dxa"/>
              <w:left w:w="240" w:type="dxa"/>
              <w:bottom w:w="240" w:type="dxa"/>
              <w:right w:w="240" w:type="dxa"/>
            </w:tcMar>
            <w:vAlign w:val="center"/>
            <w:hideMark/>
          </w:tcPr>
          <w:p w14:paraId="4124307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0,026943 €</w:t>
            </w:r>
          </w:p>
        </w:tc>
        <w:tc>
          <w:tcPr>
            <w:tcW w:w="1842" w:type="dxa"/>
            <w:tcMar>
              <w:top w:w="240" w:type="dxa"/>
              <w:left w:w="240" w:type="dxa"/>
              <w:bottom w:w="240" w:type="dxa"/>
              <w:right w:w="240" w:type="dxa"/>
            </w:tcMar>
            <w:vAlign w:val="center"/>
            <w:hideMark/>
          </w:tcPr>
          <w:p w14:paraId="2463E24E"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6924128C" w14:textId="77777777" w:rsidTr="00B62D4A">
        <w:tc>
          <w:tcPr>
            <w:tcW w:w="5294" w:type="dxa"/>
            <w:tcMar>
              <w:top w:w="240" w:type="dxa"/>
              <w:left w:w="240" w:type="dxa"/>
              <w:bottom w:w="240" w:type="dxa"/>
              <w:right w:w="240" w:type="dxa"/>
            </w:tcMar>
            <w:vAlign w:val="center"/>
            <w:hideMark/>
          </w:tcPr>
          <w:p w14:paraId="02BDC6AF"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Database - Marketplace Compute Image - Microsoft SQL Enterprise</w:t>
            </w:r>
          </w:p>
        </w:tc>
        <w:tc>
          <w:tcPr>
            <w:tcW w:w="1701" w:type="dxa"/>
            <w:tcMar>
              <w:top w:w="240" w:type="dxa"/>
              <w:left w:w="240" w:type="dxa"/>
              <w:bottom w:w="240" w:type="dxa"/>
              <w:right w:w="240" w:type="dxa"/>
            </w:tcMar>
            <w:vAlign w:val="center"/>
            <w:hideMark/>
          </w:tcPr>
          <w:p w14:paraId="457BD282"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1,3202 €</w:t>
            </w:r>
          </w:p>
        </w:tc>
        <w:tc>
          <w:tcPr>
            <w:tcW w:w="1842" w:type="dxa"/>
            <w:tcMar>
              <w:top w:w="240" w:type="dxa"/>
              <w:left w:w="240" w:type="dxa"/>
              <w:bottom w:w="240" w:type="dxa"/>
              <w:right w:w="240" w:type="dxa"/>
            </w:tcMar>
            <w:vAlign w:val="center"/>
            <w:hideMark/>
          </w:tcPr>
          <w:p w14:paraId="3A47A224"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644BB130" w14:textId="77777777" w:rsidTr="00B62D4A">
        <w:tc>
          <w:tcPr>
            <w:tcW w:w="5294" w:type="dxa"/>
            <w:tcMar>
              <w:top w:w="240" w:type="dxa"/>
              <w:left w:w="240" w:type="dxa"/>
              <w:bottom w:w="240" w:type="dxa"/>
              <w:right w:w="240" w:type="dxa"/>
            </w:tcMar>
            <w:vAlign w:val="center"/>
            <w:hideMark/>
          </w:tcPr>
          <w:p w14:paraId="27E86C0A"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Database - Marketplace Compute Image - Microsoft SQL Standard</w:t>
            </w:r>
          </w:p>
        </w:tc>
        <w:tc>
          <w:tcPr>
            <w:tcW w:w="1701" w:type="dxa"/>
            <w:tcMar>
              <w:top w:w="240" w:type="dxa"/>
              <w:left w:w="240" w:type="dxa"/>
              <w:bottom w:w="240" w:type="dxa"/>
              <w:right w:w="240" w:type="dxa"/>
            </w:tcMar>
            <w:vAlign w:val="center"/>
            <w:hideMark/>
          </w:tcPr>
          <w:p w14:paraId="1A8573A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0,332297 €</w:t>
            </w:r>
          </w:p>
        </w:tc>
        <w:tc>
          <w:tcPr>
            <w:tcW w:w="1842" w:type="dxa"/>
            <w:tcMar>
              <w:top w:w="240" w:type="dxa"/>
              <w:left w:w="240" w:type="dxa"/>
              <w:bottom w:w="240" w:type="dxa"/>
              <w:right w:w="240" w:type="dxa"/>
            </w:tcMar>
            <w:vAlign w:val="center"/>
            <w:hideMark/>
          </w:tcPr>
          <w:p w14:paraId="0CB3AEF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bl>
    <w:p w14:paraId="46D96384" w14:textId="77777777" w:rsidR="00B62D4A" w:rsidRPr="00704344" w:rsidRDefault="00B62D4A" w:rsidP="00B62D4A">
      <w:pPr>
        <w:shd w:val="clear" w:color="auto" w:fill="FBF9F8"/>
        <w:spacing w:after="264"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*All compute instances use boot volumes as their system disk. Additional storage and boot volumes are billed at the standard block volumes service pricing. Note, that this is in addition to the price of the compute instance.</w:t>
      </w:r>
    </w:p>
    <w:p w14:paraId="1CCB9A12" w14:textId="77777777" w:rsidR="00B62D4A" w:rsidRPr="00704344" w:rsidRDefault="00B62D4A" w:rsidP="00B62D4A">
      <w:pPr>
        <w:shd w:val="clear" w:color="auto" w:fill="FBF9F8"/>
        <w:spacing w:after="264"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 xml:space="preserve">*E3 SKUs will support resource-based pricing. The OCPU and the memory resources are priced separately and customers will need to purchase the Memory SKU along with the OCPU SKU. The memory to OCPU ratio can range from 1GB/OCPU </w:t>
      </w:r>
      <w:proofErr w:type="spellStart"/>
      <w:r w:rsidRPr="00704344">
        <w:rPr>
          <w:rFonts w:ascii="Segoe UI" w:eastAsia="Times New Roman" w:hAnsi="Segoe UI" w:cs="Segoe UI"/>
          <w:color w:val="000000"/>
          <w:sz w:val="16"/>
          <w:szCs w:val="16"/>
          <w:lang w:val="en-NL" w:eastAsia="en-NL"/>
        </w:rPr>
        <w:t>upto</w:t>
      </w:r>
      <w:proofErr w:type="spellEnd"/>
      <w:r w:rsidRPr="00704344">
        <w:rPr>
          <w:rFonts w:ascii="Segoe UI" w:eastAsia="Times New Roman" w:hAnsi="Segoe UI" w:cs="Segoe UI"/>
          <w:color w:val="000000"/>
          <w:sz w:val="16"/>
          <w:szCs w:val="16"/>
          <w:lang w:val="en-NL" w:eastAsia="en-NL"/>
        </w:rPr>
        <w:t xml:space="preserve"> 64 GB/OCPU.</w:t>
      </w:r>
    </w:p>
    <w:p w14:paraId="49E25338" w14:textId="77777777" w:rsidR="00B62D4A" w:rsidRPr="00704344" w:rsidRDefault="00B62D4A" w:rsidP="00B62D4A">
      <w:pPr>
        <w:shd w:val="clear" w:color="auto" w:fill="FBF9F8"/>
        <w:spacing w:after="192" w:line="240" w:lineRule="auto"/>
        <w:outlineLvl w:val="1"/>
        <w:rPr>
          <w:rFonts w:ascii="Segoe UI" w:eastAsia="Times New Roman" w:hAnsi="Segoe UI" w:cs="Segoe UI"/>
          <w:b/>
          <w:bCs/>
          <w:color w:val="000000"/>
          <w:sz w:val="16"/>
          <w:szCs w:val="16"/>
          <w:lang w:val="en-NL" w:eastAsia="en-NL"/>
        </w:rPr>
      </w:pPr>
      <w:bookmarkStart w:id="2" w:name="bare-metal"/>
      <w:bookmarkEnd w:id="2"/>
      <w:r w:rsidRPr="00704344">
        <w:rPr>
          <w:rFonts w:ascii="Segoe UI" w:eastAsia="Times New Roman" w:hAnsi="Segoe UI" w:cs="Segoe UI"/>
          <w:b/>
          <w:bCs/>
          <w:color w:val="000000"/>
          <w:sz w:val="16"/>
          <w:szCs w:val="16"/>
          <w:lang w:val="en-NL" w:eastAsia="en-NL"/>
        </w:rPr>
        <w:t>Compute - Bare Metal Instances</w:t>
      </w:r>
    </w:p>
    <w:tbl>
      <w:tblPr>
        <w:tblW w:w="7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93"/>
        <w:gridCol w:w="1701"/>
        <w:gridCol w:w="2126"/>
      </w:tblGrid>
      <w:tr w:rsidR="00B62D4A" w:rsidRPr="00704344" w14:paraId="3DD1EE59" w14:textId="77777777" w:rsidTr="00B62D4A">
        <w:trPr>
          <w:tblHeader/>
        </w:trPr>
        <w:tc>
          <w:tcPr>
            <w:tcW w:w="3593" w:type="dxa"/>
            <w:tcMar>
              <w:top w:w="332" w:type="dxa"/>
              <w:left w:w="332" w:type="dxa"/>
              <w:bottom w:w="332" w:type="dxa"/>
              <w:right w:w="332" w:type="dxa"/>
            </w:tcMar>
            <w:vAlign w:val="center"/>
            <w:hideMark/>
          </w:tcPr>
          <w:p w14:paraId="0A9F6B68"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Product</w:t>
            </w:r>
          </w:p>
        </w:tc>
        <w:tc>
          <w:tcPr>
            <w:tcW w:w="1701" w:type="dxa"/>
            <w:tcMar>
              <w:top w:w="332" w:type="dxa"/>
              <w:left w:w="332" w:type="dxa"/>
              <w:bottom w:w="332" w:type="dxa"/>
              <w:right w:w="332" w:type="dxa"/>
            </w:tcMar>
            <w:vAlign w:val="center"/>
            <w:hideMark/>
          </w:tcPr>
          <w:p w14:paraId="20E82304"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Unit Price</w:t>
            </w:r>
          </w:p>
        </w:tc>
        <w:tc>
          <w:tcPr>
            <w:tcW w:w="2126" w:type="dxa"/>
            <w:tcMar>
              <w:top w:w="332" w:type="dxa"/>
              <w:left w:w="332" w:type="dxa"/>
              <w:bottom w:w="332" w:type="dxa"/>
              <w:right w:w="332" w:type="dxa"/>
            </w:tcMar>
            <w:vAlign w:val="center"/>
            <w:hideMark/>
          </w:tcPr>
          <w:p w14:paraId="049406B5"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Metric</w:t>
            </w:r>
          </w:p>
        </w:tc>
      </w:tr>
      <w:tr w:rsidR="00B62D4A" w:rsidRPr="00704344" w14:paraId="5DD20BE1" w14:textId="77777777" w:rsidTr="00B62D4A">
        <w:tc>
          <w:tcPr>
            <w:tcW w:w="3593" w:type="dxa"/>
            <w:tcMar>
              <w:top w:w="240" w:type="dxa"/>
              <w:left w:w="240" w:type="dxa"/>
              <w:bottom w:w="240" w:type="dxa"/>
              <w:right w:w="240" w:type="dxa"/>
            </w:tcMar>
            <w:vAlign w:val="center"/>
            <w:hideMark/>
          </w:tcPr>
          <w:p w14:paraId="39B1A6B2"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Bare Metal Standard - X7</w:t>
            </w:r>
          </w:p>
        </w:tc>
        <w:tc>
          <w:tcPr>
            <w:tcW w:w="1701" w:type="dxa"/>
            <w:tcMar>
              <w:top w:w="240" w:type="dxa"/>
              <w:left w:w="240" w:type="dxa"/>
              <w:bottom w:w="240" w:type="dxa"/>
              <w:right w:w="240" w:type="dxa"/>
            </w:tcMar>
            <w:vAlign w:val="center"/>
            <w:hideMark/>
          </w:tcPr>
          <w:p w14:paraId="6F54D6C0"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0,05729878 €</w:t>
            </w:r>
          </w:p>
        </w:tc>
        <w:tc>
          <w:tcPr>
            <w:tcW w:w="2126" w:type="dxa"/>
            <w:tcMar>
              <w:top w:w="240" w:type="dxa"/>
              <w:left w:w="240" w:type="dxa"/>
              <w:bottom w:w="240" w:type="dxa"/>
              <w:right w:w="240" w:type="dxa"/>
            </w:tcMar>
            <w:vAlign w:val="center"/>
            <w:hideMark/>
          </w:tcPr>
          <w:p w14:paraId="24BF66A8"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17381D7B" w14:textId="77777777" w:rsidTr="00B62D4A">
        <w:tc>
          <w:tcPr>
            <w:tcW w:w="3593" w:type="dxa"/>
            <w:tcMar>
              <w:top w:w="240" w:type="dxa"/>
              <w:left w:w="240" w:type="dxa"/>
              <w:bottom w:w="240" w:type="dxa"/>
              <w:right w:w="240" w:type="dxa"/>
            </w:tcMar>
            <w:vAlign w:val="center"/>
            <w:hideMark/>
          </w:tcPr>
          <w:p w14:paraId="5E1E9033"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lastRenderedPageBreak/>
              <w:t>Compute - Bare Metal Dense I/O - X7</w:t>
            </w:r>
          </w:p>
        </w:tc>
        <w:tc>
          <w:tcPr>
            <w:tcW w:w="1701" w:type="dxa"/>
            <w:tcMar>
              <w:top w:w="240" w:type="dxa"/>
              <w:left w:w="240" w:type="dxa"/>
              <w:bottom w:w="240" w:type="dxa"/>
              <w:right w:w="240" w:type="dxa"/>
            </w:tcMar>
            <w:vAlign w:val="center"/>
            <w:hideMark/>
          </w:tcPr>
          <w:p w14:paraId="558EF01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0,11450775 €</w:t>
            </w:r>
          </w:p>
        </w:tc>
        <w:tc>
          <w:tcPr>
            <w:tcW w:w="2126" w:type="dxa"/>
            <w:tcMar>
              <w:top w:w="240" w:type="dxa"/>
              <w:left w:w="240" w:type="dxa"/>
              <w:bottom w:w="240" w:type="dxa"/>
              <w:right w:w="240" w:type="dxa"/>
            </w:tcMar>
            <w:vAlign w:val="center"/>
            <w:hideMark/>
          </w:tcPr>
          <w:p w14:paraId="679D439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07C154EF" w14:textId="77777777" w:rsidTr="00B62D4A">
        <w:tc>
          <w:tcPr>
            <w:tcW w:w="3593" w:type="dxa"/>
            <w:tcMar>
              <w:top w:w="240" w:type="dxa"/>
              <w:left w:w="240" w:type="dxa"/>
              <w:bottom w:w="240" w:type="dxa"/>
              <w:right w:w="240" w:type="dxa"/>
            </w:tcMar>
            <w:vAlign w:val="center"/>
            <w:hideMark/>
          </w:tcPr>
          <w:p w14:paraId="5ECFAEAE"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Bare Metal Standard - HPC - X7</w:t>
            </w:r>
          </w:p>
        </w:tc>
        <w:tc>
          <w:tcPr>
            <w:tcW w:w="1701" w:type="dxa"/>
            <w:tcMar>
              <w:top w:w="240" w:type="dxa"/>
              <w:left w:w="240" w:type="dxa"/>
              <w:bottom w:w="240" w:type="dxa"/>
              <w:right w:w="240" w:type="dxa"/>
            </w:tcMar>
            <w:vAlign w:val="center"/>
            <w:hideMark/>
          </w:tcPr>
          <w:p w14:paraId="606D2F7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0,0673575 €</w:t>
            </w:r>
          </w:p>
        </w:tc>
        <w:tc>
          <w:tcPr>
            <w:tcW w:w="2126" w:type="dxa"/>
            <w:tcMar>
              <w:top w:w="240" w:type="dxa"/>
              <w:left w:w="240" w:type="dxa"/>
              <w:bottom w:w="240" w:type="dxa"/>
              <w:right w:w="240" w:type="dxa"/>
            </w:tcMar>
            <w:vAlign w:val="center"/>
            <w:hideMark/>
          </w:tcPr>
          <w:p w14:paraId="57C3A5E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242B9E28" w14:textId="77777777" w:rsidTr="00B62D4A">
        <w:tc>
          <w:tcPr>
            <w:tcW w:w="3593" w:type="dxa"/>
            <w:tcMar>
              <w:top w:w="240" w:type="dxa"/>
              <w:left w:w="240" w:type="dxa"/>
              <w:bottom w:w="240" w:type="dxa"/>
              <w:right w:w="240" w:type="dxa"/>
            </w:tcMar>
            <w:vAlign w:val="center"/>
            <w:hideMark/>
          </w:tcPr>
          <w:p w14:paraId="1EE41484"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Standard - E3 - OCPU</w:t>
            </w:r>
          </w:p>
        </w:tc>
        <w:tc>
          <w:tcPr>
            <w:tcW w:w="1701" w:type="dxa"/>
            <w:tcMar>
              <w:top w:w="240" w:type="dxa"/>
              <w:left w:w="240" w:type="dxa"/>
              <w:bottom w:w="240" w:type="dxa"/>
              <w:right w:w="240" w:type="dxa"/>
            </w:tcMar>
            <w:vAlign w:val="center"/>
            <w:hideMark/>
          </w:tcPr>
          <w:p w14:paraId="2EF3CE91"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0,0224525 €</w:t>
            </w:r>
          </w:p>
        </w:tc>
        <w:tc>
          <w:tcPr>
            <w:tcW w:w="2126" w:type="dxa"/>
            <w:tcMar>
              <w:top w:w="240" w:type="dxa"/>
              <w:left w:w="240" w:type="dxa"/>
              <w:bottom w:w="240" w:type="dxa"/>
              <w:right w:w="240" w:type="dxa"/>
            </w:tcMar>
            <w:vAlign w:val="center"/>
            <w:hideMark/>
          </w:tcPr>
          <w:p w14:paraId="5A485682"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07AFB931" w14:textId="77777777" w:rsidTr="00B62D4A">
        <w:tc>
          <w:tcPr>
            <w:tcW w:w="3593" w:type="dxa"/>
            <w:tcMar>
              <w:top w:w="240" w:type="dxa"/>
              <w:left w:w="240" w:type="dxa"/>
              <w:bottom w:w="240" w:type="dxa"/>
              <w:right w:w="240" w:type="dxa"/>
            </w:tcMar>
            <w:vAlign w:val="center"/>
            <w:hideMark/>
          </w:tcPr>
          <w:p w14:paraId="385F31B5"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Standard - E3 - Memory</w:t>
            </w:r>
          </w:p>
        </w:tc>
        <w:tc>
          <w:tcPr>
            <w:tcW w:w="1701" w:type="dxa"/>
            <w:tcMar>
              <w:top w:w="240" w:type="dxa"/>
              <w:left w:w="240" w:type="dxa"/>
              <w:bottom w:w="240" w:type="dxa"/>
              <w:right w:w="240" w:type="dxa"/>
            </w:tcMar>
            <w:vAlign w:val="center"/>
            <w:hideMark/>
          </w:tcPr>
          <w:p w14:paraId="3702CA0A"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0,00134715 €</w:t>
            </w:r>
          </w:p>
        </w:tc>
        <w:tc>
          <w:tcPr>
            <w:tcW w:w="2126" w:type="dxa"/>
            <w:tcMar>
              <w:top w:w="240" w:type="dxa"/>
              <w:left w:w="240" w:type="dxa"/>
              <w:bottom w:w="240" w:type="dxa"/>
              <w:right w:w="240" w:type="dxa"/>
            </w:tcMar>
            <w:vAlign w:val="center"/>
            <w:hideMark/>
          </w:tcPr>
          <w:p w14:paraId="010DC0F2"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Gigabytes Per Hour</w:t>
            </w:r>
          </w:p>
        </w:tc>
      </w:tr>
      <w:tr w:rsidR="00B62D4A" w:rsidRPr="00704344" w14:paraId="56634237" w14:textId="77777777" w:rsidTr="00B62D4A">
        <w:tc>
          <w:tcPr>
            <w:tcW w:w="3593" w:type="dxa"/>
            <w:tcMar>
              <w:top w:w="240" w:type="dxa"/>
              <w:left w:w="240" w:type="dxa"/>
              <w:bottom w:w="240" w:type="dxa"/>
              <w:right w:w="240" w:type="dxa"/>
            </w:tcMar>
            <w:vAlign w:val="center"/>
            <w:hideMark/>
          </w:tcPr>
          <w:p w14:paraId="7B6045E5"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Standard - E2</w:t>
            </w:r>
          </w:p>
        </w:tc>
        <w:tc>
          <w:tcPr>
            <w:tcW w:w="1701" w:type="dxa"/>
            <w:tcMar>
              <w:top w:w="240" w:type="dxa"/>
              <w:left w:w="240" w:type="dxa"/>
              <w:bottom w:w="240" w:type="dxa"/>
              <w:right w:w="240" w:type="dxa"/>
            </w:tcMar>
            <w:vAlign w:val="center"/>
            <w:hideMark/>
          </w:tcPr>
          <w:p w14:paraId="3766574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0,026943 €</w:t>
            </w:r>
          </w:p>
        </w:tc>
        <w:tc>
          <w:tcPr>
            <w:tcW w:w="2126" w:type="dxa"/>
            <w:tcMar>
              <w:top w:w="240" w:type="dxa"/>
              <w:left w:w="240" w:type="dxa"/>
              <w:bottom w:w="240" w:type="dxa"/>
              <w:right w:w="240" w:type="dxa"/>
            </w:tcMar>
            <w:vAlign w:val="center"/>
            <w:hideMark/>
          </w:tcPr>
          <w:p w14:paraId="6C2EB1AE"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bl>
    <w:p w14:paraId="38F0284C" w14:textId="77777777" w:rsidR="00B62D4A" w:rsidRPr="00704344" w:rsidRDefault="00B62D4A" w:rsidP="00B62D4A">
      <w:pPr>
        <w:shd w:val="clear" w:color="auto" w:fill="FBF9F8"/>
        <w:spacing w:after="0"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 xml:space="preserve">You can find upgrade options for previous shapes including </w:t>
      </w:r>
      <w:proofErr w:type="spellStart"/>
      <w:r w:rsidRPr="00704344">
        <w:rPr>
          <w:rFonts w:ascii="Segoe UI" w:eastAsia="Times New Roman" w:hAnsi="Segoe UI" w:cs="Segoe UI"/>
          <w:color w:val="000000"/>
          <w:sz w:val="16"/>
          <w:szCs w:val="16"/>
          <w:lang w:val="en-NL" w:eastAsia="en-NL"/>
        </w:rPr>
        <w:t>BM.HighIO</w:t>
      </w:r>
      <w:proofErr w:type="spellEnd"/>
      <w:r w:rsidRPr="00704344">
        <w:rPr>
          <w:rFonts w:ascii="Segoe UI" w:eastAsia="Times New Roman" w:hAnsi="Segoe UI" w:cs="Segoe UI"/>
          <w:color w:val="000000"/>
          <w:sz w:val="16"/>
          <w:szCs w:val="16"/>
          <w:lang w:val="en-NL" w:eastAsia="en-NL"/>
        </w:rPr>
        <w:t xml:space="preserve"> on the </w:t>
      </w:r>
      <w:hyperlink r:id="rId9" w:history="1">
        <w:r w:rsidRPr="00704344">
          <w:rPr>
            <w:rFonts w:ascii="Segoe UI" w:eastAsia="Times New Roman" w:hAnsi="Segoe UI" w:cs="Segoe UI"/>
            <w:color w:val="00688C"/>
            <w:sz w:val="16"/>
            <w:szCs w:val="16"/>
            <w:u w:val="single"/>
            <w:lang w:val="en-NL" w:eastAsia="en-NL"/>
          </w:rPr>
          <w:t>Compute FAQ</w:t>
        </w:r>
      </w:hyperlink>
      <w:r w:rsidRPr="00704344">
        <w:rPr>
          <w:rFonts w:ascii="Segoe UI" w:eastAsia="Times New Roman" w:hAnsi="Segoe UI" w:cs="Segoe UI"/>
          <w:color w:val="000000"/>
          <w:sz w:val="16"/>
          <w:szCs w:val="16"/>
          <w:lang w:val="en-NL" w:eastAsia="en-NL"/>
        </w:rPr>
        <w:t> page.</w:t>
      </w:r>
    </w:p>
    <w:p w14:paraId="7046D029" w14:textId="77777777" w:rsidR="00B62D4A" w:rsidRPr="00704344" w:rsidRDefault="00B62D4A" w:rsidP="00B62D4A">
      <w:pPr>
        <w:shd w:val="clear" w:color="auto" w:fill="FBF9F8"/>
        <w:spacing w:after="264"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*All compute instances use boot volumes as their system disk. Additional storage and boot volumes are billed at the standard block volumes service pricing. Note, that this is in addition to the price of the compute instance.</w:t>
      </w:r>
    </w:p>
    <w:p w14:paraId="67ACABF4" w14:textId="77777777" w:rsidR="00B62D4A" w:rsidRPr="00704344" w:rsidRDefault="00B62D4A" w:rsidP="00B62D4A">
      <w:pPr>
        <w:shd w:val="clear" w:color="auto" w:fill="FBF9F8"/>
        <w:spacing w:after="264"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 xml:space="preserve">*E3 SKUs will support resource-based pricing. The OCPU and the memory resources are priced separately and customers will need to purchase the Memory SKU along with the OCPU SKU. The OCPU and memory resources are fixed for E3 Bare Metal Instances but Virtual Machine Instances memory to OCPU ratio can range from 1GB/OCPU </w:t>
      </w:r>
      <w:proofErr w:type="spellStart"/>
      <w:r w:rsidRPr="00704344">
        <w:rPr>
          <w:rFonts w:ascii="Segoe UI" w:eastAsia="Times New Roman" w:hAnsi="Segoe UI" w:cs="Segoe UI"/>
          <w:color w:val="000000"/>
          <w:sz w:val="16"/>
          <w:szCs w:val="16"/>
          <w:lang w:val="en-NL" w:eastAsia="en-NL"/>
        </w:rPr>
        <w:t>upto</w:t>
      </w:r>
      <w:proofErr w:type="spellEnd"/>
      <w:r w:rsidRPr="00704344">
        <w:rPr>
          <w:rFonts w:ascii="Segoe UI" w:eastAsia="Times New Roman" w:hAnsi="Segoe UI" w:cs="Segoe UI"/>
          <w:color w:val="000000"/>
          <w:sz w:val="16"/>
          <w:szCs w:val="16"/>
          <w:lang w:val="en-NL" w:eastAsia="en-NL"/>
        </w:rPr>
        <w:t xml:space="preserve"> 64 GB/OCPU.</w:t>
      </w:r>
    </w:p>
    <w:p w14:paraId="664DA19B" w14:textId="77777777" w:rsidR="00B62D4A" w:rsidRPr="00704344" w:rsidRDefault="00B62D4A" w:rsidP="00B62D4A">
      <w:pPr>
        <w:shd w:val="clear" w:color="auto" w:fill="FBF9F8"/>
        <w:spacing w:after="192" w:line="240" w:lineRule="auto"/>
        <w:outlineLvl w:val="1"/>
        <w:rPr>
          <w:rFonts w:ascii="Segoe UI" w:eastAsia="Times New Roman" w:hAnsi="Segoe UI" w:cs="Segoe UI"/>
          <w:b/>
          <w:bCs/>
          <w:color w:val="000000"/>
          <w:sz w:val="16"/>
          <w:szCs w:val="16"/>
          <w:lang w:val="en-NL" w:eastAsia="en-NL"/>
        </w:rPr>
      </w:pPr>
      <w:bookmarkStart w:id="3" w:name="vmware"/>
      <w:bookmarkEnd w:id="3"/>
      <w:r w:rsidRPr="00704344">
        <w:rPr>
          <w:rFonts w:ascii="Segoe UI" w:eastAsia="Times New Roman" w:hAnsi="Segoe UI" w:cs="Segoe UI"/>
          <w:b/>
          <w:bCs/>
          <w:color w:val="000000"/>
          <w:sz w:val="16"/>
          <w:szCs w:val="16"/>
          <w:lang w:val="en-NL" w:eastAsia="en-NL"/>
        </w:rPr>
        <w:t>Compute - Oracle Cloud VMware Solution</w:t>
      </w:r>
    </w:p>
    <w:tbl>
      <w:tblPr>
        <w:tblW w:w="9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00"/>
        <w:gridCol w:w="1360"/>
        <w:gridCol w:w="1275"/>
        <w:gridCol w:w="3886"/>
      </w:tblGrid>
      <w:tr w:rsidR="00B62D4A" w:rsidRPr="00704344" w14:paraId="4154B7C0" w14:textId="77777777" w:rsidTr="00B62D4A">
        <w:trPr>
          <w:tblHeader/>
        </w:trPr>
        <w:tc>
          <w:tcPr>
            <w:tcW w:w="2600" w:type="dxa"/>
            <w:tcMar>
              <w:top w:w="332" w:type="dxa"/>
              <w:left w:w="332" w:type="dxa"/>
              <w:bottom w:w="332" w:type="dxa"/>
              <w:right w:w="332" w:type="dxa"/>
            </w:tcMar>
            <w:vAlign w:val="center"/>
            <w:hideMark/>
          </w:tcPr>
          <w:p w14:paraId="4B3D9BB6"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Product</w:t>
            </w:r>
          </w:p>
        </w:tc>
        <w:tc>
          <w:tcPr>
            <w:tcW w:w="1360" w:type="dxa"/>
            <w:tcMar>
              <w:top w:w="332" w:type="dxa"/>
              <w:left w:w="332" w:type="dxa"/>
              <w:bottom w:w="332" w:type="dxa"/>
              <w:right w:w="332" w:type="dxa"/>
            </w:tcMar>
            <w:vAlign w:val="center"/>
            <w:hideMark/>
          </w:tcPr>
          <w:p w14:paraId="158B7E3F"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Unit Price</w:t>
            </w:r>
          </w:p>
        </w:tc>
        <w:tc>
          <w:tcPr>
            <w:tcW w:w="1275" w:type="dxa"/>
            <w:tcMar>
              <w:top w:w="332" w:type="dxa"/>
              <w:left w:w="332" w:type="dxa"/>
              <w:bottom w:w="332" w:type="dxa"/>
              <w:right w:w="332" w:type="dxa"/>
            </w:tcMar>
            <w:vAlign w:val="center"/>
            <w:hideMark/>
          </w:tcPr>
          <w:p w14:paraId="2376E44C"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Metric</w:t>
            </w:r>
          </w:p>
        </w:tc>
        <w:tc>
          <w:tcPr>
            <w:tcW w:w="3886" w:type="dxa"/>
            <w:tcMar>
              <w:top w:w="332" w:type="dxa"/>
              <w:left w:w="332" w:type="dxa"/>
              <w:bottom w:w="332" w:type="dxa"/>
              <w:right w:w="332" w:type="dxa"/>
            </w:tcMar>
            <w:vAlign w:val="center"/>
            <w:hideMark/>
          </w:tcPr>
          <w:p w14:paraId="2320EDEF"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Additional Details</w:t>
            </w:r>
          </w:p>
        </w:tc>
      </w:tr>
      <w:tr w:rsidR="00B62D4A" w:rsidRPr="00704344" w14:paraId="488E6343" w14:textId="77777777" w:rsidTr="00B62D4A">
        <w:tc>
          <w:tcPr>
            <w:tcW w:w="2600" w:type="dxa"/>
            <w:tcMar>
              <w:top w:w="240" w:type="dxa"/>
              <w:left w:w="240" w:type="dxa"/>
              <w:bottom w:w="240" w:type="dxa"/>
              <w:right w:w="240" w:type="dxa"/>
            </w:tcMar>
            <w:vAlign w:val="center"/>
            <w:hideMark/>
          </w:tcPr>
          <w:p w14:paraId="6A1A16FD"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VMWare Solution</w:t>
            </w:r>
          </w:p>
        </w:tc>
        <w:tc>
          <w:tcPr>
            <w:tcW w:w="1360" w:type="dxa"/>
            <w:tcMar>
              <w:top w:w="240" w:type="dxa"/>
              <w:left w:w="240" w:type="dxa"/>
              <w:bottom w:w="240" w:type="dxa"/>
              <w:right w:w="240" w:type="dxa"/>
            </w:tcMar>
            <w:vAlign w:val="center"/>
            <w:hideMark/>
          </w:tcPr>
          <w:p w14:paraId="05F0EAB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0,18240411 €</w:t>
            </w:r>
          </w:p>
        </w:tc>
        <w:tc>
          <w:tcPr>
            <w:tcW w:w="1275" w:type="dxa"/>
            <w:tcMar>
              <w:top w:w="240" w:type="dxa"/>
              <w:left w:w="240" w:type="dxa"/>
              <w:bottom w:w="240" w:type="dxa"/>
              <w:right w:w="240" w:type="dxa"/>
            </w:tcMar>
            <w:vAlign w:val="center"/>
            <w:hideMark/>
          </w:tcPr>
          <w:p w14:paraId="066A0DA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c>
          <w:tcPr>
            <w:tcW w:w="3886" w:type="dxa"/>
            <w:tcMar>
              <w:top w:w="240" w:type="dxa"/>
              <w:left w:w="240" w:type="dxa"/>
              <w:bottom w:w="240" w:type="dxa"/>
              <w:right w:w="240" w:type="dxa"/>
            </w:tcMar>
            <w:vAlign w:val="center"/>
            <w:hideMark/>
          </w:tcPr>
          <w:p w14:paraId="2D9BAED1"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 xml:space="preserve">Additional </w:t>
            </w:r>
            <w:proofErr w:type="spellStart"/>
            <w:r w:rsidRPr="00704344">
              <w:rPr>
                <w:rFonts w:ascii="Times New Roman" w:eastAsia="Times New Roman" w:hAnsi="Times New Roman" w:cs="Times New Roman"/>
                <w:color w:val="161513"/>
                <w:sz w:val="16"/>
                <w:szCs w:val="16"/>
                <w:lang w:val="en-NL" w:eastAsia="en-NL"/>
              </w:rPr>
              <w:t>OCPUs</w:t>
            </w:r>
            <w:proofErr w:type="spellEnd"/>
            <w:r w:rsidRPr="00704344">
              <w:rPr>
                <w:rFonts w:ascii="Times New Roman" w:eastAsia="Times New Roman" w:hAnsi="Times New Roman" w:cs="Times New Roman"/>
                <w:color w:val="161513"/>
                <w:sz w:val="16"/>
                <w:szCs w:val="16"/>
                <w:lang w:val="en-NL" w:eastAsia="en-NL"/>
              </w:rPr>
              <w:t xml:space="preserve"> can be added in quantities of 52 </w:t>
            </w:r>
            <w:proofErr w:type="spellStart"/>
            <w:r w:rsidRPr="00704344">
              <w:rPr>
                <w:rFonts w:ascii="Times New Roman" w:eastAsia="Times New Roman" w:hAnsi="Times New Roman" w:cs="Times New Roman"/>
                <w:color w:val="161513"/>
                <w:sz w:val="16"/>
                <w:szCs w:val="16"/>
                <w:lang w:val="en-NL" w:eastAsia="en-NL"/>
              </w:rPr>
              <w:t>OCPUs</w:t>
            </w:r>
            <w:proofErr w:type="spellEnd"/>
            <w:r w:rsidRPr="00704344">
              <w:rPr>
                <w:rFonts w:ascii="Times New Roman" w:eastAsia="Times New Roman" w:hAnsi="Times New Roman" w:cs="Times New Roman"/>
                <w:color w:val="161513"/>
                <w:sz w:val="16"/>
                <w:szCs w:val="16"/>
                <w:lang w:val="en-NL" w:eastAsia="en-NL"/>
              </w:rPr>
              <w:t>.</w:t>
            </w:r>
          </w:p>
        </w:tc>
      </w:tr>
    </w:tbl>
    <w:p w14:paraId="1982EB4B" w14:textId="77777777" w:rsidR="00B62D4A" w:rsidRPr="00704344" w:rsidRDefault="00B62D4A" w:rsidP="00B62D4A">
      <w:pPr>
        <w:shd w:val="clear" w:color="auto" w:fill="FBF9F8"/>
        <w:spacing w:after="264"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 xml:space="preserve">Minimum of 156 </w:t>
      </w:r>
      <w:proofErr w:type="spellStart"/>
      <w:r w:rsidRPr="00704344">
        <w:rPr>
          <w:rFonts w:ascii="Segoe UI" w:eastAsia="Times New Roman" w:hAnsi="Segoe UI" w:cs="Segoe UI"/>
          <w:color w:val="000000"/>
          <w:sz w:val="16"/>
          <w:szCs w:val="16"/>
          <w:lang w:val="en-NL" w:eastAsia="en-NL"/>
        </w:rPr>
        <w:t>OCPUs</w:t>
      </w:r>
      <w:proofErr w:type="spellEnd"/>
      <w:r w:rsidRPr="00704344">
        <w:rPr>
          <w:rFonts w:ascii="Segoe UI" w:eastAsia="Times New Roman" w:hAnsi="Segoe UI" w:cs="Segoe UI"/>
          <w:color w:val="000000"/>
          <w:sz w:val="16"/>
          <w:szCs w:val="16"/>
          <w:lang w:val="en-NL" w:eastAsia="en-NL"/>
        </w:rPr>
        <w:t xml:space="preserve"> each month.</w:t>
      </w:r>
    </w:p>
    <w:p w14:paraId="4E894994" w14:textId="77777777" w:rsidR="00B62D4A" w:rsidRPr="00704344" w:rsidRDefault="00B62D4A" w:rsidP="00B62D4A">
      <w:pPr>
        <w:shd w:val="clear" w:color="auto" w:fill="FBF9F8"/>
        <w:spacing w:after="192" w:line="240" w:lineRule="auto"/>
        <w:outlineLvl w:val="1"/>
        <w:rPr>
          <w:rFonts w:ascii="Segoe UI" w:eastAsia="Times New Roman" w:hAnsi="Segoe UI" w:cs="Segoe UI"/>
          <w:b/>
          <w:bCs/>
          <w:color w:val="000000"/>
          <w:sz w:val="16"/>
          <w:szCs w:val="16"/>
          <w:lang w:val="en-NL" w:eastAsia="en-NL"/>
        </w:rPr>
      </w:pPr>
      <w:r w:rsidRPr="00704344">
        <w:rPr>
          <w:rFonts w:ascii="Segoe UI" w:eastAsia="Times New Roman" w:hAnsi="Segoe UI" w:cs="Segoe UI"/>
          <w:b/>
          <w:bCs/>
          <w:color w:val="000000"/>
          <w:sz w:val="16"/>
          <w:szCs w:val="16"/>
          <w:lang w:val="en-NL" w:eastAsia="en-NL"/>
        </w:rPr>
        <w:t>Compute - GPU Instances</w:t>
      </w:r>
    </w:p>
    <w:p w14:paraId="03D8887D" w14:textId="77777777" w:rsidR="00B62D4A" w:rsidRPr="00704344" w:rsidRDefault="00B62D4A" w:rsidP="00B62D4A">
      <w:pPr>
        <w:shd w:val="clear" w:color="auto" w:fill="FBF9F8"/>
        <w:spacing w:after="264"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Instances are available as both virtual machines and bare metal, providing flexibility and performance at the fraction of the cost of other public cloud providers.</w:t>
      </w:r>
    </w:p>
    <w:tbl>
      <w:tblPr>
        <w:tblW w:w="10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78"/>
        <w:gridCol w:w="1222"/>
        <w:gridCol w:w="1134"/>
        <w:gridCol w:w="1134"/>
        <w:gridCol w:w="1134"/>
        <w:gridCol w:w="993"/>
        <w:gridCol w:w="1134"/>
        <w:gridCol w:w="1017"/>
        <w:gridCol w:w="1174"/>
      </w:tblGrid>
      <w:tr w:rsidR="00B62D4A" w:rsidRPr="00704344" w14:paraId="5600C3BA" w14:textId="77777777" w:rsidTr="0080485E">
        <w:trPr>
          <w:tblHeader/>
        </w:trPr>
        <w:tc>
          <w:tcPr>
            <w:tcW w:w="1378" w:type="dxa"/>
            <w:tcMar>
              <w:top w:w="332" w:type="dxa"/>
              <w:left w:w="332" w:type="dxa"/>
              <w:bottom w:w="332" w:type="dxa"/>
              <w:right w:w="332" w:type="dxa"/>
            </w:tcMar>
            <w:vAlign w:val="center"/>
            <w:hideMark/>
          </w:tcPr>
          <w:p w14:paraId="24F8CF18"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Shape</w:t>
            </w:r>
          </w:p>
        </w:tc>
        <w:tc>
          <w:tcPr>
            <w:tcW w:w="1222" w:type="dxa"/>
            <w:tcMar>
              <w:top w:w="332" w:type="dxa"/>
              <w:left w:w="332" w:type="dxa"/>
              <w:bottom w:w="332" w:type="dxa"/>
              <w:right w:w="332" w:type="dxa"/>
            </w:tcMar>
            <w:vAlign w:val="center"/>
            <w:hideMark/>
          </w:tcPr>
          <w:p w14:paraId="782DA195"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GPUs</w:t>
            </w:r>
          </w:p>
        </w:tc>
        <w:tc>
          <w:tcPr>
            <w:tcW w:w="1134" w:type="dxa"/>
            <w:tcMar>
              <w:top w:w="332" w:type="dxa"/>
              <w:left w:w="332" w:type="dxa"/>
              <w:bottom w:w="332" w:type="dxa"/>
              <w:right w:w="332" w:type="dxa"/>
            </w:tcMar>
            <w:vAlign w:val="center"/>
            <w:hideMark/>
          </w:tcPr>
          <w:p w14:paraId="099CD77B"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Architecture</w:t>
            </w:r>
          </w:p>
        </w:tc>
        <w:tc>
          <w:tcPr>
            <w:tcW w:w="1134" w:type="dxa"/>
            <w:tcMar>
              <w:top w:w="332" w:type="dxa"/>
              <w:left w:w="332" w:type="dxa"/>
              <w:bottom w:w="332" w:type="dxa"/>
              <w:right w:w="332" w:type="dxa"/>
            </w:tcMar>
            <w:vAlign w:val="center"/>
            <w:hideMark/>
          </w:tcPr>
          <w:p w14:paraId="61033105"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GPU Interconnect</w:t>
            </w:r>
          </w:p>
        </w:tc>
        <w:tc>
          <w:tcPr>
            <w:tcW w:w="1134" w:type="dxa"/>
            <w:tcMar>
              <w:top w:w="332" w:type="dxa"/>
              <w:left w:w="332" w:type="dxa"/>
              <w:bottom w:w="332" w:type="dxa"/>
              <w:right w:w="332" w:type="dxa"/>
            </w:tcMar>
            <w:vAlign w:val="center"/>
            <w:hideMark/>
          </w:tcPr>
          <w:p w14:paraId="527C7484"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GPU Memory</w:t>
            </w:r>
          </w:p>
        </w:tc>
        <w:tc>
          <w:tcPr>
            <w:tcW w:w="993" w:type="dxa"/>
            <w:tcMar>
              <w:top w:w="332" w:type="dxa"/>
              <w:left w:w="332" w:type="dxa"/>
              <w:bottom w:w="332" w:type="dxa"/>
              <w:right w:w="332" w:type="dxa"/>
            </w:tcMar>
            <w:vAlign w:val="center"/>
            <w:hideMark/>
          </w:tcPr>
          <w:p w14:paraId="0B8ED4C8"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CPU Cores</w:t>
            </w:r>
          </w:p>
        </w:tc>
        <w:tc>
          <w:tcPr>
            <w:tcW w:w="1134" w:type="dxa"/>
            <w:tcMar>
              <w:top w:w="332" w:type="dxa"/>
              <w:left w:w="332" w:type="dxa"/>
              <w:bottom w:w="332" w:type="dxa"/>
              <w:right w:w="332" w:type="dxa"/>
            </w:tcMar>
            <w:vAlign w:val="center"/>
            <w:hideMark/>
          </w:tcPr>
          <w:p w14:paraId="0185B48F"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CPU Memory</w:t>
            </w:r>
          </w:p>
        </w:tc>
        <w:tc>
          <w:tcPr>
            <w:tcW w:w="1017" w:type="dxa"/>
            <w:tcMar>
              <w:top w:w="332" w:type="dxa"/>
              <w:left w:w="332" w:type="dxa"/>
              <w:bottom w:w="332" w:type="dxa"/>
              <w:right w:w="332" w:type="dxa"/>
            </w:tcMar>
            <w:vAlign w:val="center"/>
            <w:hideMark/>
          </w:tcPr>
          <w:p w14:paraId="016C7266"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Network</w:t>
            </w:r>
          </w:p>
        </w:tc>
        <w:tc>
          <w:tcPr>
            <w:tcW w:w="1174" w:type="dxa"/>
            <w:tcMar>
              <w:top w:w="332" w:type="dxa"/>
              <w:left w:w="332" w:type="dxa"/>
              <w:bottom w:w="332" w:type="dxa"/>
              <w:right w:w="332" w:type="dxa"/>
            </w:tcMar>
            <w:vAlign w:val="center"/>
            <w:hideMark/>
          </w:tcPr>
          <w:p w14:paraId="386D591F"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Price (GPU/hr)</w:t>
            </w:r>
          </w:p>
        </w:tc>
      </w:tr>
      <w:tr w:rsidR="00B62D4A" w:rsidRPr="00704344" w14:paraId="5228F3AE" w14:textId="77777777" w:rsidTr="0080485E">
        <w:tc>
          <w:tcPr>
            <w:tcW w:w="1378" w:type="dxa"/>
            <w:tcMar>
              <w:top w:w="240" w:type="dxa"/>
              <w:left w:w="240" w:type="dxa"/>
              <w:bottom w:w="240" w:type="dxa"/>
              <w:right w:w="240" w:type="dxa"/>
            </w:tcMar>
            <w:vAlign w:val="center"/>
            <w:hideMark/>
          </w:tcPr>
          <w:p w14:paraId="76619068"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VM.GPU2.1</w:t>
            </w:r>
          </w:p>
        </w:tc>
        <w:tc>
          <w:tcPr>
            <w:tcW w:w="1222" w:type="dxa"/>
            <w:tcMar>
              <w:top w:w="240" w:type="dxa"/>
              <w:left w:w="240" w:type="dxa"/>
              <w:bottom w:w="240" w:type="dxa"/>
              <w:right w:w="240" w:type="dxa"/>
            </w:tcMar>
            <w:vAlign w:val="center"/>
            <w:hideMark/>
          </w:tcPr>
          <w:p w14:paraId="17EDDDD2"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1x NVIDIA P100</w:t>
            </w:r>
          </w:p>
        </w:tc>
        <w:tc>
          <w:tcPr>
            <w:tcW w:w="1134" w:type="dxa"/>
            <w:tcMar>
              <w:top w:w="240" w:type="dxa"/>
              <w:left w:w="240" w:type="dxa"/>
              <w:bottom w:w="240" w:type="dxa"/>
              <w:right w:w="240" w:type="dxa"/>
            </w:tcMar>
            <w:vAlign w:val="center"/>
            <w:hideMark/>
          </w:tcPr>
          <w:p w14:paraId="1B637478"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Pascal</w:t>
            </w:r>
          </w:p>
        </w:tc>
        <w:tc>
          <w:tcPr>
            <w:tcW w:w="1134" w:type="dxa"/>
            <w:tcMar>
              <w:top w:w="240" w:type="dxa"/>
              <w:left w:w="240" w:type="dxa"/>
              <w:bottom w:w="240" w:type="dxa"/>
              <w:right w:w="240" w:type="dxa"/>
            </w:tcMar>
            <w:vAlign w:val="center"/>
            <w:hideMark/>
          </w:tcPr>
          <w:p w14:paraId="5177D564"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N/A</w:t>
            </w:r>
          </w:p>
        </w:tc>
        <w:tc>
          <w:tcPr>
            <w:tcW w:w="1134" w:type="dxa"/>
            <w:tcMar>
              <w:top w:w="240" w:type="dxa"/>
              <w:left w:w="240" w:type="dxa"/>
              <w:bottom w:w="240" w:type="dxa"/>
              <w:right w:w="240" w:type="dxa"/>
            </w:tcMar>
            <w:vAlign w:val="center"/>
            <w:hideMark/>
          </w:tcPr>
          <w:p w14:paraId="7D424733"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16 GB</w:t>
            </w:r>
          </w:p>
        </w:tc>
        <w:tc>
          <w:tcPr>
            <w:tcW w:w="993" w:type="dxa"/>
            <w:tcMar>
              <w:top w:w="240" w:type="dxa"/>
              <w:left w:w="240" w:type="dxa"/>
              <w:bottom w:w="240" w:type="dxa"/>
              <w:right w:w="240" w:type="dxa"/>
            </w:tcMar>
            <w:vAlign w:val="center"/>
            <w:hideMark/>
          </w:tcPr>
          <w:p w14:paraId="72B2629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12</w:t>
            </w:r>
          </w:p>
        </w:tc>
        <w:tc>
          <w:tcPr>
            <w:tcW w:w="1134" w:type="dxa"/>
            <w:tcMar>
              <w:top w:w="240" w:type="dxa"/>
              <w:left w:w="240" w:type="dxa"/>
              <w:bottom w:w="240" w:type="dxa"/>
              <w:right w:w="240" w:type="dxa"/>
            </w:tcMar>
            <w:vAlign w:val="center"/>
            <w:hideMark/>
          </w:tcPr>
          <w:p w14:paraId="407E213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78 GB</w:t>
            </w:r>
          </w:p>
        </w:tc>
        <w:tc>
          <w:tcPr>
            <w:tcW w:w="1017" w:type="dxa"/>
            <w:tcMar>
              <w:top w:w="240" w:type="dxa"/>
              <w:left w:w="240" w:type="dxa"/>
              <w:bottom w:w="240" w:type="dxa"/>
              <w:right w:w="240" w:type="dxa"/>
            </w:tcMar>
            <w:vAlign w:val="center"/>
            <w:hideMark/>
          </w:tcPr>
          <w:p w14:paraId="41CDF2E8"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25 Gbps</w:t>
            </w:r>
          </w:p>
        </w:tc>
        <w:tc>
          <w:tcPr>
            <w:tcW w:w="1174" w:type="dxa"/>
            <w:tcMar>
              <w:top w:w="240" w:type="dxa"/>
              <w:left w:w="240" w:type="dxa"/>
              <w:bottom w:w="240" w:type="dxa"/>
              <w:right w:w="240" w:type="dxa"/>
            </w:tcMar>
            <w:vAlign w:val="center"/>
            <w:hideMark/>
          </w:tcPr>
          <w:p w14:paraId="14EC8EA4"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1,1451 €</w:t>
            </w:r>
          </w:p>
        </w:tc>
      </w:tr>
      <w:tr w:rsidR="00B62D4A" w:rsidRPr="00704344" w14:paraId="5A1D3F6F" w14:textId="77777777" w:rsidTr="0080485E">
        <w:tc>
          <w:tcPr>
            <w:tcW w:w="1378" w:type="dxa"/>
            <w:tcMar>
              <w:top w:w="240" w:type="dxa"/>
              <w:left w:w="240" w:type="dxa"/>
              <w:bottom w:w="240" w:type="dxa"/>
              <w:right w:w="240" w:type="dxa"/>
            </w:tcMar>
            <w:vAlign w:val="center"/>
            <w:hideMark/>
          </w:tcPr>
          <w:p w14:paraId="08194CB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BM.GPU2.2</w:t>
            </w:r>
          </w:p>
        </w:tc>
        <w:tc>
          <w:tcPr>
            <w:tcW w:w="1222" w:type="dxa"/>
            <w:tcMar>
              <w:top w:w="240" w:type="dxa"/>
              <w:left w:w="240" w:type="dxa"/>
              <w:bottom w:w="240" w:type="dxa"/>
              <w:right w:w="240" w:type="dxa"/>
            </w:tcMar>
            <w:vAlign w:val="center"/>
            <w:hideMark/>
          </w:tcPr>
          <w:p w14:paraId="4DA05DD9"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 xml:space="preserve">2x </w:t>
            </w:r>
            <w:r w:rsidRPr="00704344">
              <w:rPr>
                <w:rFonts w:ascii="Times New Roman" w:eastAsia="Times New Roman" w:hAnsi="Times New Roman" w:cs="Times New Roman"/>
                <w:color w:val="161513"/>
                <w:sz w:val="16"/>
                <w:szCs w:val="16"/>
                <w:lang w:val="en-NL" w:eastAsia="en-NL"/>
              </w:rPr>
              <w:lastRenderedPageBreak/>
              <w:t>NVIDIA P100</w:t>
            </w:r>
          </w:p>
        </w:tc>
        <w:tc>
          <w:tcPr>
            <w:tcW w:w="1134" w:type="dxa"/>
            <w:tcMar>
              <w:top w:w="240" w:type="dxa"/>
              <w:left w:w="240" w:type="dxa"/>
              <w:bottom w:w="240" w:type="dxa"/>
              <w:right w:w="240" w:type="dxa"/>
            </w:tcMar>
            <w:vAlign w:val="center"/>
            <w:hideMark/>
          </w:tcPr>
          <w:p w14:paraId="1C3D1A1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lastRenderedPageBreak/>
              <w:t>Pascal</w:t>
            </w:r>
          </w:p>
        </w:tc>
        <w:tc>
          <w:tcPr>
            <w:tcW w:w="1134" w:type="dxa"/>
            <w:tcMar>
              <w:top w:w="240" w:type="dxa"/>
              <w:left w:w="240" w:type="dxa"/>
              <w:bottom w:w="240" w:type="dxa"/>
              <w:right w:w="240" w:type="dxa"/>
            </w:tcMar>
            <w:vAlign w:val="center"/>
            <w:hideMark/>
          </w:tcPr>
          <w:p w14:paraId="6F1F7A90"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N/A</w:t>
            </w:r>
          </w:p>
        </w:tc>
        <w:tc>
          <w:tcPr>
            <w:tcW w:w="1134" w:type="dxa"/>
            <w:tcMar>
              <w:top w:w="240" w:type="dxa"/>
              <w:left w:w="240" w:type="dxa"/>
              <w:bottom w:w="240" w:type="dxa"/>
              <w:right w:w="240" w:type="dxa"/>
            </w:tcMar>
            <w:vAlign w:val="center"/>
            <w:hideMark/>
          </w:tcPr>
          <w:p w14:paraId="25ADD0B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32 GB</w:t>
            </w:r>
          </w:p>
        </w:tc>
        <w:tc>
          <w:tcPr>
            <w:tcW w:w="993" w:type="dxa"/>
            <w:tcMar>
              <w:top w:w="240" w:type="dxa"/>
              <w:left w:w="240" w:type="dxa"/>
              <w:bottom w:w="240" w:type="dxa"/>
              <w:right w:w="240" w:type="dxa"/>
            </w:tcMar>
            <w:vAlign w:val="center"/>
            <w:hideMark/>
          </w:tcPr>
          <w:p w14:paraId="182CAD43"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28</w:t>
            </w:r>
          </w:p>
        </w:tc>
        <w:tc>
          <w:tcPr>
            <w:tcW w:w="1134" w:type="dxa"/>
            <w:tcMar>
              <w:top w:w="240" w:type="dxa"/>
              <w:left w:w="240" w:type="dxa"/>
              <w:bottom w:w="240" w:type="dxa"/>
              <w:right w:w="240" w:type="dxa"/>
            </w:tcMar>
            <w:vAlign w:val="center"/>
            <w:hideMark/>
          </w:tcPr>
          <w:p w14:paraId="04FFA05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192 GB</w:t>
            </w:r>
          </w:p>
        </w:tc>
        <w:tc>
          <w:tcPr>
            <w:tcW w:w="1017" w:type="dxa"/>
            <w:tcMar>
              <w:top w:w="240" w:type="dxa"/>
              <w:left w:w="240" w:type="dxa"/>
              <w:bottom w:w="240" w:type="dxa"/>
              <w:right w:w="240" w:type="dxa"/>
            </w:tcMar>
            <w:vAlign w:val="center"/>
            <w:hideMark/>
          </w:tcPr>
          <w:p w14:paraId="5DB6B12C"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 xml:space="preserve">2x 25 </w:t>
            </w:r>
            <w:r w:rsidRPr="00704344">
              <w:rPr>
                <w:rFonts w:ascii="Times New Roman" w:eastAsia="Times New Roman" w:hAnsi="Times New Roman" w:cs="Times New Roman"/>
                <w:color w:val="161513"/>
                <w:sz w:val="16"/>
                <w:szCs w:val="16"/>
                <w:lang w:val="en-NL" w:eastAsia="en-NL"/>
              </w:rPr>
              <w:lastRenderedPageBreak/>
              <w:t>Gbps</w:t>
            </w:r>
          </w:p>
        </w:tc>
        <w:tc>
          <w:tcPr>
            <w:tcW w:w="1174" w:type="dxa"/>
            <w:tcMar>
              <w:top w:w="240" w:type="dxa"/>
              <w:left w:w="240" w:type="dxa"/>
              <w:bottom w:w="240" w:type="dxa"/>
              <w:right w:w="240" w:type="dxa"/>
            </w:tcMar>
            <w:vAlign w:val="center"/>
            <w:hideMark/>
          </w:tcPr>
          <w:p w14:paraId="44B7CC1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lastRenderedPageBreak/>
              <w:t>1,1451 €</w:t>
            </w:r>
          </w:p>
        </w:tc>
      </w:tr>
      <w:tr w:rsidR="00B62D4A" w:rsidRPr="00704344" w14:paraId="0B3039F4" w14:textId="77777777" w:rsidTr="0080485E">
        <w:tc>
          <w:tcPr>
            <w:tcW w:w="1378" w:type="dxa"/>
            <w:tcMar>
              <w:top w:w="240" w:type="dxa"/>
              <w:left w:w="240" w:type="dxa"/>
              <w:bottom w:w="240" w:type="dxa"/>
              <w:right w:w="240" w:type="dxa"/>
            </w:tcMar>
            <w:vAlign w:val="center"/>
            <w:hideMark/>
          </w:tcPr>
          <w:p w14:paraId="2F175E31"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VM.GPU3.1</w:t>
            </w:r>
          </w:p>
        </w:tc>
        <w:tc>
          <w:tcPr>
            <w:tcW w:w="1222" w:type="dxa"/>
            <w:tcMar>
              <w:top w:w="240" w:type="dxa"/>
              <w:left w:w="240" w:type="dxa"/>
              <w:bottom w:w="240" w:type="dxa"/>
              <w:right w:w="240" w:type="dxa"/>
            </w:tcMar>
            <w:vAlign w:val="center"/>
            <w:hideMark/>
          </w:tcPr>
          <w:p w14:paraId="2E85419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1x NVIDIA V100 Tensor Core</w:t>
            </w:r>
          </w:p>
        </w:tc>
        <w:tc>
          <w:tcPr>
            <w:tcW w:w="1134" w:type="dxa"/>
            <w:tcMar>
              <w:top w:w="240" w:type="dxa"/>
              <w:left w:w="240" w:type="dxa"/>
              <w:bottom w:w="240" w:type="dxa"/>
              <w:right w:w="240" w:type="dxa"/>
            </w:tcMar>
            <w:vAlign w:val="center"/>
            <w:hideMark/>
          </w:tcPr>
          <w:p w14:paraId="4932E64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Volta</w:t>
            </w:r>
          </w:p>
        </w:tc>
        <w:tc>
          <w:tcPr>
            <w:tcW w:w="1134" w:type="dxa"/>
            <w:tcMar>
              <w:top w:w="240" w:type="dxa"/>
              <w:left w:w="240" w:type="dxa"/>
              <w:bottom w:w="240" w:type="dxa"/>
              <w:right w:w="240" w:type="dxa"/>
            </w:tcMar>
            <w:vAlign w:val="center"/>
            <w:hideMark/>
          </w:tcPr>
          <w:p w14:paraId="40B8D4C9"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N/A</w:t>
            </w:r>
          </w:p>
        </w:tc>
        <w:tc>
          <w:tcPr>
            <w:tcW w:w="1134" w:type="dxa"/>
            <w:tcMar>
              <w:top w:w="240" w:type="dxa"/>
              <w:left w:w="240" w:type="dxa"/>
              <w:bottom w:w="240" w:type="dxa"/>
              <w:right w:w="240" w:type="dxa"/>
            </w:tcMar>
            <w:vAlign w:val="center"/>
            <w:hideMark/>
          </w:tcPr>
          <w:p w14:paraId="0DC7F631"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16 GB</w:t>
            </w:r>
          </w:p>
        </w:tc>
        <w:tc>
          <w:tcPr>
            <w:tcW w:w="993" w:type="dxa"/>
            <w:tcMar>
              <w:top w:w="240" w:type="dxa"/>
              <w:left w:w="240" w:type="dxa"/>
              <w:bottom w:w="240" w:type="dxa"/>
              <w:right w:w="240" w:type="dxa"/>
            </w:tcMar>
            <w:vAlign w:val="center"/>
            <w:hideMark/>
          </w:tcPr>
          <w:p w14:paraId="4B3C811A"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6</w:t>
            </w:r>
          </w:p>
        </w:tc>
        <w:tc>
          <w:tcPr>
            <w:tcW w:w="1134" w:type="dxa"/>
            <w:tcMar>
              <w:top w:w="240" w:type="dxa"/>
              <w:left w:w="240" w:type="dxa"/>
              <w:bottom w:w="240" w:type="dxa"/>
              <w:right w:w="240" w:type="dxa"/>
            </w:tcMar>
            <w:vAlign w:val="center"/>
            <w:hideMark/>
          </w:tcPr>
          <w:p w14:paraId="6B31B15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90 GB</w:t>
            </w:r>
          </w:p>
        </w:tc>
        <w:tc>
          <w:tcPr>
            <w:tcW w:w="1017" w:type="dxa"/>
            <w:tcMar>
              <w:top w:w="240" w:type="dxa"/>
              <w:left w:w="240" w:type="dxa"/>
              <w:bottom w:w="240" w:type="dxa"/>
              <w:right w:w="240" w:type="dxa"/>
            </w:tcMar>
            <w:vAlign w:val="center"/>
            <w:hideMark/>
          </w:tcPr>
          <w:p w14:paraId="6C6D29D9"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400 Mbps</w:t>
            </w:r>
          </w:p>
        </w:tc>
        <w:tc>
          <w:tcPr>
            <w:tcW w:w="1174" w:type="dxa"/>
            <w:tcMar>
              <w:top w:w="240" w:type="dxa"/>
              <w:left w:w="240" w:type="dxa"/>
              <w:bottom w:w="240" w:type="dxa"/>
              <w:right w:w="240" w:type="dxa"/>
            </w:tcMar>
            <w:vAlign w:val="center"/>
            <w:hideMark/>
          </w:tcPr>
          <w:p w14:paraId="32EB628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2,6494 €</w:t>
            </w:r>
          </w:p>
        </w:tc>
      </w:tr>
      <w:tr w:rsidR="00B62D4A" w:rsidRPr="00704344" w14:paraId="1DAEF135" w14:textId="77777777" w:rsidTr="0080485E">
        <w:tc>
          <w:tcPr>
            <w:tcW w:w="1378" w:type="dxa"/>
            <w:tcMar>
              <w:top w:w="240" w:type="dxa"/>
              <w:left w:w="240" w:type="dxa"/>
              <w:bottom w:w="240" w:type="dxa"/>
              <w:right w:w="240" w:type="dxa"/>
            </w:tcMar>
            <w:vAlign w:val="center"/>
            <w:hideMark/>
          </w:tcPr>
          <w:p w14:paraId="542BF5BE"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VM.GPU3.2</w:t>
            </w:r>
          </w:p>
        </w:tc>
        <w:tc>
          <w:tcPr>
            <w:tcW w:w="1222" w:type="dxa"/>
            <w:tcMar>
              <w:top w:w="240" w:type="dxa"/>
              <w:left w:w="240" w:type="dxa"/>
              <w:bottom w:w="240" w:type="dxa"/>
              <w:right w:w="240" w:type="dxa"/>
            </w:tcMar>
            <w:vAlign w:val="center"/>
            <w:hideMark/>
          </w:tcPr>
          <w:p w14:paraId="357F6B64"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2x NVIDIA V100 Tensor Core</w:t>
            </w:r>
          </w:p>
        </w:tc>
        <w:tc>
          <w:tcPr>
            <w:tcW w:w="1134" w:type="dxa"/>
            <w:tcMar>
              <w:top w:w="240" w:type="dxa"/>
              <w:left w:w="240" w:type="dxa"/>
              <w:bottom w:w="240" w:type="dxa"/>
              <w:right w:w="240" w:type="dxa"/>
            </w:tcMar>
            <w:vAlign w:val="center"/>
            <w:hideMark/>
          </w:tcPr>
          <w:p w14:paraId="7447AE59"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Volta</w:t>
            </w:r>
          </w:p>
        </w:tc>
        <w:tc>
          <w:tcPr>
            <w:tcW w:w="1134" w:type="dxa"/>
            <w:tcMar>
              <w:top w:w="240" w:type="dxa"/>
              <w:left w:w="240" w:type="dxa"/>
              <w:bottom w:w="240" w:type="dxa"/>
              <w:right w:w="240" w:type="dxa"/>
            </w:tcMar>
            <w:vAlign w:val="center"/>
            <w:hideMark/>
          </w:tcPr>
          <w:p w14:paraId="7CF8700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NVIDIA NVLINK</w:t>
            </w:r>
          </w:p>
        </w:tc>
        <w:tc>
          <w:tcPr>
            <w:tcW w:w="1134" w:type="dxa"/>
            <w:tcMar>
              <w:top w:w="240" w:type="dxa"/>
              <w:left w:w="240" w:type="dxa"/>
              <w:bottom w:w="240" w:type="dxa"/>
              <w:right w:w="240" w:type="dxa"/>
            </w:tcMar>
            <w:vAlign w:val="center"/>
            <w:hideMark/>
          </w:tcPr>
          <w:p w14:paraId="61EFE6A9"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32 GB</w:t>
            </w:r>
          </w:p>
        </w:tc>
        <w:tc>
          <w:tcPr>
            <w:tcW w:w="993" w:type="dxa"/>
            <w:tcMar>
              <w:top w:w="240" w:type="dxa"/>
              <w:left w:w="240" w:type="dxa"/>
              <w:bottom w:w="240" w:type="dxa"/>
              <w:right w:w="240" w:type="dxa"/>
            </w:tcMar>
            <w:vAlign w:val="center"/>
            <w:hideMark/>
          </w:tcPr>
          <w:p w14:paraId="4B70BAE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12</w:t>
            </w:r>
          </w:p>
        </w:tc>
        <w:tc>
          <w:tcPr>
            <w:tcW w:w="1134" w:type="dxa"/>
            <w:tcMar>
              <w:top w:w="240" w:type="dxa"/>
              <w:left w:w="240" w:type="dxa"/>
              <w:bottom w:w="240" w:type="dxa"/>
              <w:right w:w="240" w:type="dxa"/>
            </w:tcMar>
            <w:vAlign w:val="center"/>
            <w:hideMark/>
          </w:tcPr>
          <w:p w14:paraId="3EC03EF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180 GB</w:t>
            </w:r>
          </w:p>
        </w:tc>
        <w:tc>
          <w:tcPr>
            <w:tcW w:w="1017" w:type="dxa"/>
            <w:tcMar>
              <w:top w:w="240" w:type="dxa"/>
              <w:left w:w="240" w:type="dxa"/>
              <w:bottom w:w="240" w:type="dxa"/>
              <w:right w:w="240" w:type="dxa"/>
            </w:tcMar>
            <w:vAlign w:val="center"/>
            <w:hideMark/>
          </w:tcPr>
          <w:p w14:paraId="703D336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800 Gbps</w:t>
            </w:r>
          </w:p>
        </w:tc>
        <w:tc>
          <w:tcPr>
            <w:tcW w:w="1174" w:type="dxa"/>
            <w:tcMar>
              <w:top w:w="240" w:type="dxa"/>
              <w:left w:w="240" w:type="dxa"/>
              <w:bottom w:w="240" w:type="dxa"/>
              <w:right w:w="240" w:type="dxa"/>
            </w:tcMar>
            <w:vAlign w:val="center"/>
            <w:hideMark/>
          </w:tcPr>
          <w:p w14:paraId="76EA82F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2,6494 €</w:t>
            </w:r>
          </w:p>
        </w:tc>
      </w:tr>
      <w:tr w:rsidR="00B62D4A" w:rsidRPr="00704344" w14:paraId="5D4E2C6B" w14:textId="77777777" w:rsidTr="0080485E">
        <w:tc>
          <w:tcPr>
            <w:tcW w:w="1378" w:type="dxa"/>
            <w:tcMar>
              <w:top w:w="240" w:type="dxa"/>
              <w:left w:w="240" w:type="dxa"/>
              <w:bottom w:w="240" w:type="dxa"/>
              <w:right w:w="240" w:type="dxa"/>
            </w:tcMar>
            <w:vAlign w:val="center"/>
            <w:hideMark/>
          </w:tcPr>
          <w:p w14:paraId="5B685000"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VM.GPU3.4</w:t>
            </w:r>
          </w:p>
        </w:tc>
        <w:tc>
          <w:tcPr>
            <w:tcW w:w="1222" w:type="dxa"/>
            <w:tcMar>
              <w:top w:w="240" w:type="dxa"/>
              <w:left w:w="240" w:type="dxa"/>
              <w:bottom w:w="240" w:type="dxa"/>
              <w:right w:w="240" w:type="dxa"/>
            </w:tcMar>
            <w:vAlign w:val="center"/>
            <w:hideMark/>
          </w:tcPr>
          <w:p w14:paraId="4BD1F05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4x NVIDIA V100 Tensor Core</w:t>
            </w:r>
          </w:p>
        </w:tc>
        <w:tc>
          <w:tcPr>
            <w:tcW w:w="1134" w:type="dxa"/>
            <w:tcMar>
              <w:top w:w="240" w:type="dxa"/>
              <w:left w:w="240" w:type="dxa"/>
              <w:bottom w:w="240" w:type="dxa"/>
              <w:right w:w="240" w:type="dxa"/>
            </w:tcMar>
            <w:vAlign w:val="center"/>
            <w:hideMark/>
          </w:tcPr>
          <w:p w14:paraId="4FFEC38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Volta</w:t>
            </w:r>
          </w:p>
        </w:tc>
        <w:tc>
          <w:tcPr>
            <w:tcW w:w="1134" w:type="dxa"/>
            <w:tcMar>
              <w:top w:w="240" w:type="dxa"/>
              <w:left w:w="240" w:type="dxa"/>
              <w:bottom w:w="240" w:type="dxa"/>
              <w:right w:w="240" w:type="dxa"/>
            </w:tcMar>
            <w:vAlign w:val="center"/>
            <w:hideMark/>
          </w:tcPr>
          <w:p w14:paraId="7B9FDE2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NVIDIA NVLINK</w:t>
            </w:r>
          </w:p>
        </w:tc>
        <w:tc>
          <w:tcPr>
            <w:tcW w:w="1134" w:type="dxa"/>
            <w:tcMar>
              <w:top w:w="240" w:type="dxa"/>
              <w:left w:w="240" w:type="dxa"/>
              <w:bottom w:w="240" w:type="dxa"/>
              <w:right w:w="240" w:type="dxa"/>
            </w:tcMar>
            <w:vAlign w:val="center"/>
            <w:hideMark/>
          </w:tcPr>
          <w:p w14:paraId="3F1B0671"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64 GB</w:t>
            </w:r>
          </w:p>
        </w:tc>
        <w:tc>
          <w:tcPr>
            <w:tcW w:w="993" w:type="dxa"/>
            <w:tcMar>
              <w:top w:w="240" w:type="dxa"/>
              <w:left w:w="240" w:type="dxa"/>
              <w:bottom w:w="240" w:type="dxa"/>
              <w:right w:w="240" w:type="dxa"/>
            </w:tcMar>
            <w:vAlign w:val="center"/>
            <w:hideMark/>
          </w:tcPr>
          <w:p w14:paraId="0AD2E968"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24</w:t>
            </w:r>
          </w:p>
        </w:tc>
        <w:tc>
          <w:tcPr>
            <w:tcW w:w="1134" w:type="dxa"/>
            <w:tcMar>
              <w:top w:w="240" w:type="dxa"/>
              <w:left w:w="240" w:type="dxa"/>
              <w:bottom w:w="240" w:type="dxa"/>
              <w:right w:w="240" w:type="dxa"/>
            </w:tcMar>
            <w:vAlign w:val="center"/>
            <w:hideMark/>
          </w:tcPr>
          <w:p w14:paraId="5850F1C7"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360 GB</w:t>
            </w:r>
          </w:p>
        </w:tc>
        <w:tc>
          <w:tcPr>
            <w:tcW w:w="1017" w:type="dxa"/>
            <w:tcMar>
              <w:top w:w="240" w:type="dxa"/>
              <w:left w:w="240" w:type="dxa"/>
              <w:bottom w:w="240" w:type="dxa"/>
              <w:right w:w="240" w:type="dxa"/>
            </w:tcMar>
            <w:vAlign w:val="center"/>
            <w:hideMark/>
          </w:tcPr>
          <w:p w14:paraId="34584592"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25 Gbps</w:t>
            </w:r>
          </w:p>
        </w:tc>
        <w:tc>
          <w:tcPr>
            <w:tcW w:w="1174" w:type="dxa"/>
            <w:tcMar>
              <w:top w:w="240" w:type="dxa"/>
              <w:left w:w="240" w:type="dxa"/>
              <w:bottom w:w="240" w:type="dxa"/>
              <w:right w:w="240" w:type="dxa"/>
            </w:tcMar>
            <w:vAlign w:val="center"/>
            <w:hideMark/>
          </w:tcPr>
          <w:p w14:paraId="3971C98E"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2,6494 €</w:t>
            </w:r>
          </w:p>
        </w:tc>
      </w:tr>
      <w:tr w:rsidR="00B62D4A" w:rsidRPr="00704344" w14:paraId="4BEE5509" w14:textId="77777777" w:rsidTr="0080485E">
        <w:tc>
          <w:tcPr>
            <w:tcW w:w="1378" w:type="dxa"/>
            <w:tcMar>
              <w:top w:w="240" w:type="dxa"/>
              <w:left w:w="240" w:type="dxa"/>
              <w:bottom w:w="240" w:type="dxa"/>
              <w:right w:w="240" w:type="dxa"/>
            </w:tcMar>
            <w:vAlign w:val="center"/>
            <w:hideMark/>
          </w:tcPr>
          <w:p w14:paraId="1B0AEAE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BM.GPU3.8</w:t>
            </w:r>
          </w:p>
        </w:tc>
        <w:tc>
          <w:tcPr>
            <w:tcW w:w="1222" w:type="dxa"/>
            <w:tcMar>
              <w:top w:w="240" w:type="dxa"/>
              <w:left w:w="240" w:type="dxa"/>
              <w:bottom w:w="240" w:type="dxa"/>
              <w:right w:w="240" w:type="dxa"/>
            </w:tcMar>
            <w:vAlign w:val="center"/>
            <w:hideMark/>
          </w:tcPr>
          <w:p w14:paraId="0CE348B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8x NVIDIA V100 Tensor Core</w:t>
            </w:r>
          </w:p>
        </w:tc>
        <w:tc>
          <w:tcPr>
            <w:tcW w:w="1134" w:type="dxa"/>
            <w:tcMar>
              <w:top w:w="240" w:type="dxa"/>
              <w:left w:w="240" w:type="dxa"/>
              <w:bottom w:w="240" w:type="dxa"/>
              <w:right w:w="240" w:type="dxa"/>
            </w:tcMar>
            <w:vAlign w:val="center"/>
            <w:hideMark/>
          </w:tcPr>
          <w:p w14:paraId="066933F4"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Volta</w:t>
            </w:r>
          </w:p>
        </w:tc>
        <w:tc>
          <w:tcPr>
            <w:tcW w:w="1134" w:type="dxa"/>
            <w:tcMar>
              <w:top w:w="240" w:type="dxa"/>
              <w:left w:w="240" w:type="dxa"/>
              <w:bottom w:w="240" w:type="dxa"/>
              <w:right w:w="240" w:type="dxa"/>
            </w:tcMar>
            <w:vAlign w:val="center"/>
            <w:hideMark/>
          </w:tcPr>
          <w:p w14:paraId="0CFAD63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NVIDIA NVLINK</w:t>
            </w:r>
          </w:p>
        </w:tc>
        <w:tc>
          <w:tcPr>
            <w:tcW w:w="1134" w:type="dxa"/>
            <w:tcMar>
              <w:top w:w="240" w:type="dxa"/>
              <w:left w:w="240" w:type="dxa"/>
              <w:bottom w:w="240" w:type="dxa"/>
              <w:right w:w="240" w:type="dxa"/>
            </w:tcMar>
            <w:vAlign w:val="center"/>
            <w:hideMark/>
          </w:tcPr>
          <w:p w14:paraId="0DF87C6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128 GB</w:t>
            </w:r>
          </w:p>
        </w:tc>
        <w:tc>
          <w:tcPr>
            <w:tcW w:w="993" w:type="dxa"/>
            <w:tcMar>
              <w:top w:w="240" w:type="dxa"/>
              <w:left w:w="240" w:type="dxa"/>
              <w:bottom w:w="240" w:type="dxa"/>
              <w:right w:w="240" w:type="dxa"/>
            </w:tcMar>
            <w:vAlign w:val="center"/>
            <w:hideMark/>
          </w:tcPr>
          <w:p w14:paraId="10CA6540"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52</w:t>
            </w:r>
          </w:p>
        </w:tc>
        <w:tc>
          <w:tcPr>
            <w:tcW w:w="1134" w:type="dxa"/>
            <w:tcMar>
              <w:top w:w="240" w:type="dxa"/>
              <w:left w:w="240" w:type="dxa"/>
              <w:bottom w:w="240" w:type="dxa"/>
              <w:right w:w="240" w:type="dxa"/>
            </w:tcMar>
            <w:vAlign w:val="center"/>
            <w:hideMark/>
          </w:tcPr>
          <w:p w14:paraId="3F9B0132"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768 GB</w:t>
            </w:r>
          </w:p>
        </w:tc>
        <w:tc>
          <w:tcPr>
            <w:tcW w:w="1017" w:type="dxa"/>
            <w:tcMar>
              <w:top w:w="240" w:type="dxa"/>
              <w:left w:w="240" w:type="dxa"/>
              <w:bottom w:w="240" w:type="dxa"/>
              <w:right w:w="240" w:type="dxa"/>
            </w:tcMar>
            <w:vAlign w:val="center"/>
            <w:hideMark/>
          </w:tcPr>
          <w:p w14:paraId="3889B6C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2x 25 Gbps</w:t>
            </w:r>
          </w:p>
        </w:tc>
        <w:tc>
          <w:tcPr>
            <w:tcW w:w="1174" w:type="dxa"/>
            <w:tcMar>
              <w:top w:w="240" w:type="dxa"/>
              <w:left w:w="240" w:type="dxa"/>
              <w:bottom w:w="240" w:type="dxa"/>
              <w:right w:w="240" w:type="dxa"/>
            </w:tcMar>
            <w:vAlign w:val="center"/>
            <w:hideMark/>
          </w:tcPr>
          <w:p w14:paraId="1636B5E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2,6494 €</w:t>
            </w:r>
          </w:p>
        </w:tc>
      </w:tr>
      <w:tr w:rsidR="00B62D4A" w:rsidRPr="00704344" w14:paraId="096F4A02" w14:textId="77777777" w:rsidTr="0080485E">
        <w:tc>
          <w:tcPr>
            <w:tcW w:w="1378" w:type="dxa"/>
            <w:tcMar>
              <w:top w:w="240" w:type="dxa"/>
              <w:left w:w="240" w:type="dxa"/>
              <w:bottom w:w="240" w:type="dxa"/>
              <w:right w:w="240" w:type="dxa"/>
            </w:tcMar>
            <w:vAlign w:val="center"/>
            <w:hideMark/>
          </w:tcPr>
          <w:p w14:paraId="1141117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VM.GPU4.1*</w:t>
            </w:r>
          </w:p>
        </w:tc>
        <w:tc>
          <w:tcPr>
            <w:tcW w:w="1222" w:type="dxa"/>
            <w:tcMar>
              <w:top w:w="240" w:type="dxa"/>
              <w:left w:w="240" w:type="dxa"/>
              <w:bottom w:w="240" w:type="dxa"/>
              <w:right w:w="240" w:type="dxa"/>
            </w:tcMar>
            <w:vAlign w:val="center"/>
            <w:hideMark/>
          </w:tcPr>
          <w:p w14:paraId="0848AC60"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1x NVIDIA A100 Tensor Core</w:t>
            </w:r>
          </w:p>
        </w:tc>
        <w:tc>
          <w:tcPr>
            <w:tcW w:w="1134" w:type="dxa"/>
            <w:tcMar>
              <w:top w:w="240" w:type="dxa"/>
              <w:left w:w="240" w:type="dxa"/>
              <w:bottom w:w="240" w:type="dxa"/>
              <w:right w:w="240" w:type="dxa"/>
            </w:tcMar>
            <w:vAlign w:val="center"/>
            <w:hideMark/>
          </w:tcPr>
          <w:p w14:paraId="670988A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Ampere</w:t>
            </w:r>
          </w:p>
        </w:tc>
        <w:tc>
          <w:tcPr>
            <w:tcW w:w="1134" w:type="dxa"/>
            <w:tcMar>
              <w:top w:w="240" w:type="dxa"/>
              <w:left w:w="240" w:type="dxa"/>
              <w:bottom w:w="240" w:type="dxa"/>
              <w:right w:w="240" w:type="dxa"/>
            </w:tcMar>
            <w:vAlign w:val="center"/>
            <w:hideMark/>
          </w:tcPr>
          <w:p w14:paraId="73CD890C"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N/A</w:t>
            </w:r>
          </w:p>
        </w:tc>
        <w:tc>
          <w:tcPr>
            <w:tcW w:w="1134" w:type="dxa"/>
            <w:tcMar>
              <w:top w:w="240" w:type="dxa"/>
              <w:left w:w="240" w:type="dxa"/>
              <w:bottom w:w="240" w:type="dxa"/>
              <w:right w:w="240" w:type="dxa"/>
            </w:tcMar>
            <w:vAlign w:val="center"/>
            <w:hideMark/>
          </w:tcPr>
          <w:p w14:paraId="2F0F8BA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40 GB</w:t>
            </w:r>
          </w:p>
        </w:tc>
        <w:tc>
          <w:tcPr>
            <w:tcW w:w="993" w:type="dxa"/>
            <w:tcMar>
              <w:top w:w="240" w:type="dxa"/>
              <w:left w:w="240" w:type="dxa"/>
              <w:bottom w:w="240" w:type="dxa"/>
              <w:right w:w="240" w:type="dxa"/>
            </w:tcMar>
            <w:vAlign w:val="center"/>
            <w:hideMark/>
          </w:tcPr>
          <w:p w14:paraId="026CFD3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7</w:t>
            </w:r>
          </w:p>
        </w:tc>
        <w:tc>
          <w:tcPr>
            <w:tcW w:w="1134" w:type="dxa"/>
            <w:tcMar>
              <w:top w:w="240" w:type="dxa"/>
              <w:left w:w="240" w:type="dxa"/>
              <w:bottom w:w="240" w:type="dxa"/>
              <w:right w:w="240" w:type="dxa"/>
            </w:tcMar>
            <w:vAlign w:val="center"/>
            <w:hideMark/>
          </w:tcPr>
          <w:p w14:paraId="2A3A7993"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224 GB</w:t>
            </w:r>
          </w:p>
        </w:tc>
        <w:tc>
          <w:tcPr>
            <w:tcW w:w="1017" w:type="dxa"/>
            <w:tcMar>
              <w:top w:w="240" w:type="dxa"/>
              <w:left w:w="240" w:type="dxa"/>
              <w:bottom w:w="240" w:type="dxa"/>
              <w:right w:w="240" w:type="dxa"/>
            </w:tcMar>
            <w:vAlign w:val="center"/>
            <w:hideMark/>
          </w:tcPr>
          <w:p w14:paraId="2056D36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6.25 Gbps</w:t>
            </w:r>
          </w:p>
        </w:tc>
        <w:tc>
          <w:tcPr>
            <w:tcW w:w="1174" w:type="dxa"/>
            <w:tcMar>
              <w:top w:w="240" w:type="dxa"/>
              <w:left w:w="240" w:type="dxa"/>
              <w:bottom w:w="240" w:type="dxa"/>
              <w:right w:w="240" w:type="dxa"/>
            </w:tcMar>
            <w:vAlign w:val="center"/>
            <w:hideMark/>
          </w:tcPr>
          <w:p w14:paraId="3DF8B61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2,7392 €</w:t>
            </w:r>
          </w:p>
        </w:tc>
      </w:tr>
      <w:tr w:rsidR="00B62D4A" w:rsidRPr="00704344" w14:paraId="27D03E95" w14:textId="77777777" w:rsidTr="0080485E">
        <w:tc>
          <w:tcPr>
            <w:tcW w:w="1378" w:type="dxa"/>
            <w:tcMar>
              <w:top w:w="240" w:type="dxa"/>
              <w:left w:w="240" w:type="dxa"/>
              <w:bottom w:w="240" w:type="dxa"/>
              <w:right w:w="240" w:type="dxa"/>
            </w:tcMar>
            <w:vAlign w:val="center"/>
            <w:hideMark/>
          </w:tcPr>
          <w:p w14:paraId="0D76EF8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VM.GPU4.2*</w:t>
            </w:r>
          </w:p>
        </w:tc>
        <w:tc>
          <w:tcPr>
            <w:tcW w:w="1222" w:type="dxa"/>
            <w:tcMar>
              <w:top w:w="240" w:type="dxa"/>
              <w:left w:w="240" w:type="dxa"/>
              <w:bottom w:w="240" w:type="dxa"/>
              <w:right w:w="240" w:type="dxa"/>
            </w:tcMar>
            <w:vAlign w:val="center"/>
            <w:hideMark/>
          </w:tcPr>
          <w:p w14:paraId="26D05F8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2x NVIDIA A100 Tensor Core</w:t>
            </w:r>
          </w:p>
        </w:tc>
        <w:tc>
          <w:tcPr>
            <w:tcW w:w="1134" w:type="dxa"/>
            <w:tcMar>
              <w:top w:w="240" w:type="dxa"/>
              <w:left w:w="240" w:type="dxa"/>
              <w:bottom w:w="240" w:type="dxa"/>
              <w:right w:w="240" w:type="dxa"/>
            </w:tcMar>
            <w:vAlign w:val="center"/>
            <w:hideMark/>
          </w:tcPr>
          <w:p w14:paraId="22EE2C3E"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Ampere</w:t>
            </w:r>
          </w:p>
        </w:tc>
        <w:tc>
          <w:tcPr>
            <w:tcW w:w="1134" w:type="dxa"/>
            <w:tcMar>
              <w:top w:w="240" w:type="dxa"/>
              <w:left w:w="240" w:type="dxa"/>
              <w:bottom w:w="240" w:type="dxa"/>
              <w:right w:w="240" w:type="dxa"/>
            </w:tcMar>
            <w:vAlign w:val="center"/>
            <w:hideMark/>
          </w:tcPr>
          <w:p w14:paraId="26240AB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NVIDIA NVLINK</w:t>
            </w:r>
          </w:p>
        </w:tc>
        <w:tc>
          <w:tcPr>
            <w:tcW w:w="1134" w:type="dxa"/>
            <w:tcMar>
              <w:top w:w="240" w:type="dxa"/>
              <w:left w:w="240" w:type="dxa"/>
              <w:bottom w:w="240" w:type="dxa"/>
              <w:right w:w="240" w:type="dxa"/>
            </w:tcMar>
            <w:vAlign w:val="center"/>
            <w:hideMark/>
          </w:tcPr>
          <w:p w14:paraId="4FBBA6D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80 GB</w:t>
            </w:r>
          </w:p>
        </w:tc>
        <w:tc>
          <w:tcPr>
            <w:tcW w:w="993" w:type="dxa"/>
            <w:tcMar>
              <w:top w:w="240" w:type="dxa"/>
              <w:left w:w="240" w:type="dxa"/>
              <w:bottom w:w="240" w:type="dxa"/>
              <w:right w:w="240" w:type="dxa"/>
            </w:tcMar>
            <w:vAlign w:val="center"/>
            <w:hideMark/>
          </w:tcPr>
          <w:p w14:paraId="6CFC147D"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15</w:t>
            </w:r>
          </w:p>
        </w:tc>
        <w:tc>
          <w:tcPr>
            <w:tcW w:w="1134" w:type="dxa"/>
            <w:tcMar>
              <w:top w:w="240" w:type="dxa"/>
              <w:left w:w="240" w:type="dxa"/>
              <w:bottom w:w="240" w:type="dxa"/>
              <w:right w:w="240" w:type="dxa"/>
            </w:tcMar>
            <w:vAlign w:val="center"/>
            <w:hideMark/>
          </w:tcPr>
          <w:p w14:paraId="1DAAFAD2"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480 GB</w:t>
            </w:r>
          </w:p>
        </w:tc>
        <w:tc>
          <w:tcPr>
            <w:tcW w:w="1017" w:type="dxa"/>
            <w:tcMar>
              <w:top w:w="240" w:type="dxa"/>
              <w:left w:w="240" w:type="dxa"/>
              <w:bottom w:w="240" w:type="dxa"/>
              <w:right w:w="240" w:type="dxa"/>
            </w:tcMar>
            <w:vAlign w:val="center"/>
            <w:hideMark/>
          </w:tcPr>
          <w:p w14:paraId="4365040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12.5 Gbps</w:t>
            </w:r>
          </w:p>
        </w:tc>
        <w:tc>
          <w:tcPr>
            <w:tcW w:w="1174" w:type="dxa"/>
            <w:tcMar>
              <w:top w:w="240" w:type="dxa"/>
              <w:left w:w="240" w:type="dxa"/>
              <w:bottom w:w="240" w:type="dxa"/>
              <w:right w:w="240" w:type="dxa"/>
            </w:tcMar>
            <w:vAlign w:val="center"/>
            <w:hideMark/>
          </w:tcPr>
          <w:p w14:paraId="15598F04"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2,7392 €</w:t>
            </w:r>
          </w:p>
        </w:tc>
      </w:tr>
      <w:tr w:rsidR="00B62D4A" w:rsidRPr="00704344" w14:paraId="30414538" w14:textId="77777777" w:rsidTr="0080485E">
        <w:tc>
          <w:tcPr>
            <w:tcW w:w="1378" w:type="dxa"/>
            <w:tcMar>
              <w:top w:w="240" w:type="dxa"/>
              <w:left w:w="240" w:type="dxa"/>
              <w:bottom w:w="240" w:type="dxa"/>
              <w:right w:w="240" w:type="dxa"/>
            </w:tcMar>
            <w:vAlign w:val="center"/>
            <w:hideMark/>
          </w:tcPr>
          <w:p w14:paraId="7AFDA17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VM.GPU4.4*</w:t>
            </w:r>
          </w:p>
        </w:tc>
        <w:tc>
          <w:tcPr>
            <w:tcW w:w="1222" w:type="dxa"/>
            <w:tcMar>
              <w:top w:w="240" w:type="dxa"/>
              <w:left w:w="240" w:type="dxa"/>
              <w:bottom w:w="240" w:type="dxa"/>
              <w:right w:w="240" w:type="dxa"/>
            </w:tcMar>
            <w:vAlign w:val="center"/>
            <w:hideMark/>
          </w:tcPr>
          <w:p w14:paraId="6F2802B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4x NVIDIA A100 Tensor Core</w:t>
            </w:r>
          </w:p>
        </w:tc>
        <w:tc>
          <w:tcPr>
            <w:tcW w:w="1134" w:type="dxa"/>
            <w:tcMar>
              <w:top w:w="240" w:type="dxa"/>
              <w:left w:w="240" w:type="dxa"/>
              <w:bottom w:w="240" w:type="dxa"/>
              <w:right w:w="240" w:type="dxa"/>
            </w:tcMar>
            <w:vAlign w:val="center"/>
            <w:hideMark/>
          </w:tcPr>
          <w:p w14:paraId="6CFCC7AC"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Ampere</w:t>
            </w:r>
          </w:p>
        </w:tc>
        <w:tc>
          <w:tcPr>
            <w:tcW w:w="1134" w:type="dxa"/>
            <w:tcMar>
              <w:top w:w="240" w:type="dxa"/>
              <w:left w:w="240" w:type="dxa"/>
              <w:bottom w:w="240" w:type="dxa"/>
              <w:right w:w="240" w:type="dxa"/>
            </w:tcMar>
            <w:vAlign w:val="center"/>
            <w:hideMark/>
          </w:tcPr>
          <w:p w14:paraId="3884FD4F"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NVIDIA NVLINK</w:t>
            </w:r>
          </w:p>
        </w:tc>
        <w:tc>
          <w:tcPr>
            <w:tcW w:w="1134" w:type="dxa"/>
            <w:tcMar>
              <w:top w:w="240" w:type="dxa"/>
              <w:left w:w="240" w:type="dxa"/>
              <w:bottom w:w="240" w:type="dxa"/>
              <w:right w:w="240" w:type="dxa"/>
            </w:tcMar>
            <w:vAlign w:val="center"/>
            <w:hideMark/>
          </w:tcPr>
          <w:p w14:paraId="60F681DC"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160 GB</w:t>
            </w:r>
          </w:p>
        </w:tc>
        <w:tc>
          <w:tcPr>
            <w:tcW w:w="993" w:type="dxa"/>
            <w:tcMar>
              <w:top w:w="240" w:type="dxa"/>
              <w:left w:w="240" w:type="dxa"/>
              <w:bottom w:w="240" w:type="dxa"/>
              <w:right w:w="240" w:type="dxa"/>
            </w:tcMar>
            <w:vAlign w:val="center"/>
            <w:hideMark/>
          </w:tcPr>
          <w:p w14:paraId="6BE0BDA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30</w:t>
            </w:r>
          </w:p>
        </w:tc>
        <w:tc>
          <w:tcPr>
            <w:tcW w:w="1134" w:type="dxa"/>
            <w:tcMar>
              <w:top w:w="240" w:type="dxa"/>
              <w:left w:w="240" w:type="dxa"/>
              <w:bottom w:w="240" w:type="dxa"/>
              <w:right w:w="240" w:type="dxa"/>
            </w:tcMar>
            <w:vAlign w:val="center"/>
            <w:hideMark/>
          </w:tcPr>
          <w:p w14:paraId="27D946C7"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960 GB</w:t>
            </w:r>
          </w:p>
        </w:tc>
        <w:tc>
          <w:tcPr>
            <w:tcW w:w="1017" w:type="dxa"/>
            <w:tcMar>
              <w:top w:w="240" w:type="dxa"/>
              <w:left w:w="240" w:type="dxa"/>
              <w:bottom w:w="240" w:type="dxa"/>
              <w:right w:w="240" w:type="dxa"/>
            </w:tcMar>
            <w:vAlign w:val="center"/>
            <w:hideMark/>
          </w:tcPr>
          <w:p w14:paraId="557D0B4C"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25 Gbps</w:t>
            </w:r>
          </w:p>
        </w:tc>
        <w:tc>
          <w:tcPr>
            <w:tcW w:w="1174" w:type="dxa"/>
            <w:tcMar>
              <w:top w:w="240" w:type="dxa"/>
              <w:left w:w="240" w:type="dxa"/>
              <w:bottom w:w="240" w:type="dxa"/>
              <w:right w:w="240" w:type="dxa"/>
            </w:tcMar>
            <w:vAlign w:val="center"/>
            <w:hideMark/>
          </w:tcPr>
          <w:p w14:paraId="392735A1"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2,7392 €</w:t>
            </w:r>
          </w:p>
        </w:tc>
      </w:tr>
      <w:tr w:rsidR="00B62D4A" w:rsidRPr="00704344" w14:paraId="125B914E" w14:textId="77777777" w:rsidTr="0080485E">
        <w:tc>
          <w:tcPr>
            <w:tcW w:w="1378" w:type="dxa"/>
            <w:tcMar>
              <w:top w:w="240" w:type="dxa"/>
              <w:left w:w="240" w:type="dxa"/>
              <w:bottom w:w="240" w:type="dxa"/>
              <w:right w:w="240" w:type="dxa"/>
            </w:tcMar>
            <w:vAlign w:val="center"/>
            <w:hideMark/>
          </w:tcPr>
          <w:p w14:paraId="5309461E"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BM.GPU4.8</w:t>
            </w:r>
          </w:p>
        </w:tc>
        <w:tc>
          <w:tcPr>
            <w:tcW w:w="1222" w:type="dxa"/>
            <w:tcMar>
              <w:top w:w="240" w:type="dxa"/>
              <w:left w:w="240" w:type="dxa"/>
              <w:bottom w:w="240" w:type="dxa"/>
              <w:right w:w="240" w:type="dxa"/>
            </w:tcMar>
            <w:vAlign w:val="center"/>
            <w:hideMark/>
          </w:tcPr>
          <w:p w14:paraId="25D3BF65"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 xml:space="preserve">8x NVIDIA </w:t>
            </w:r>
            <w:r w:rsidRPr="00704344">
              <w:rPr>
                <w:rFonts w:ascii="Times New Roman" w:eastAsia="Times New Roman" w:hAnsi="Times New Roman" w:cs="Times New Roman"/>
                <w:color w:val="161513"/>
                <w:sz w:val="16"/>
                <w:szCs w:val="16"/>
                <w:lang w:val="en-NL" w:eastAsia="en-NL"/>
              </w:rPr>
              <w:lastRenderedPageBreak/>
              <w:t>A100 Tensor Core</w:t>
            </w:r>
          </w:p>
        </w:tc>
        <w:tc>
          <w:tcPr>
            <w:tcW w:w="1134" w:type="dxa"/>
            <w:tcMar>
              <w:top w:w="240" w:type="dxa"/>
              <w:left w:w="240" w:type="dxa"/>
              <w:bottom w:w="240" w:type="dxa"/>
              <w:right w:w="240" w:type="dxa"/>
            </w:tcMar>
            <w:vAlign w:val="center"/>
            <w:hideMark/>
          </w:tcPr>
          <w:p w14:paraId="47625F01"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lastRenderedPageBreak/>
              <w:t>Ampere</w:t>
            </w:r>
          </w:p>
        </w:tc>
        <w:tc>
          <w:tcPr>
            <w:tcW w:w="1134" w:type="dxa"/>
            <w:tcMar>
              <w:top w:w="240" w:type="dxa"/>
              <w:left w:w="240" w:type="dxa"/>
              <w:bottom w:w="240" w:type="dxa"/>
              <w:right w:w="240" w:type="dxa"/>
            </w:tcMar>
            <w:vAlign w:val="center"/>
            <w:hideMark/>
          </w:tcPr>
          <w:p w14:paraId="23E396FC"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NVIDIA NVLINK</w:t>
            </w:r>
          </w:p>
        </w:tc>
        <w:tc>
          <w:tcPr>
            <w:tcW w:w="1134" w:type="dxa"/>
            <w:tcMar>
              <w:top w:w="240" w:type="dxa"/>
              <w:left w:w="240" w:type="dxa"/>
              <w:bottom w:w="240" w:type="dxa"/>
              <w:right w:w="240" w:type="dxa"/>
            </w:tcMar>
            <w:vAlign w:val="center"/>
            <w:hideMark/>
          </w:tcPr>
          <w:p w14:paraId="6D24116B"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320 GB</w:t>
            </w:r>
          </w:p>
        </w:tc>
        <w:tc>
          <w:tcPr>
            <w:tcW w:w="993" w:type="dxa"/>
            <w:tcMar>
              <w:top w:w="240" w:type="dxa"/>
              <w:left w:w="240" w:type="dxa"/>
              <w:bottom w:w="240" w:type="dxa"/>
              <w:right w:w="240" w:type="dxa"/>
            </w:tcMar>
            <w:vAlign w:val="center"/>
            <w:hideMark/>
          </w:tcPr>
          <w:p w14:paraId="1BBD27D7"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64</w:t>
            </w:r>
          </w:p>
        </w:tc>
        <w:tc>
          <w:tcPr>
            <w:tcW w:w="1134" w:type="dxa"/>
            <w:tcMar>
              <w:top w:w="240" w:type="dxa"/>
              <w:left w:w="240" w:type="dxa"/>
              <w:bottom w:w="240" w:type="dxa"/>
              <w:right w:w="240" w:type="dxa"/>
            </w:tcMar>
            <w:vAlign w:val="center"/>
            <w:hideMark/>
          </w:tcPr>
          <w:p w14:paraId="42AE2139"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2048 GB</w:t>
            </w:r>
          </w:p>
        </w:tc>
        <w:tc>
          <w:tcPr>
            <w:tcW w:w="1017" w:type="dxa"/>
            <w:tcMar>
              <w:top w:w="240" w:type="dxa"/>
              <w:left w:w="240" w:type="dxa"/>
              <w:bottom w:w="240" w:type="dxa"/>
              <w:right w:w="240" w:type="dxa"/>
            </w:tcMar>
            <w:vAlign w:val="center"/>
            <w:hideMark/>
          </w:tcPr>
          <w:p w14:paraId="2D3D5170"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 xml:space="preserve">8 x 200 Gbps </w:t>
            </w:r>
            <w:r w:rsidRPr="00704344">
              <w:rPr>
                <w:rFonts w:ascii="Times New Roman" w:eastAsia="Times New Roman" w:hAnsi="Times New Roman" w:cs="Times New Roman"/>
                <w:color w:val="161513"/>
                <w:sz w:val="16"/>
                <w:szCs w:val="16"/>
                <w:lang w:val="en-NL" w:eastAsia="en-NL"/>
              </w:rPr>
              <w:lastRenderedPageBreak/>
              <w:t>RDMA</w:t>
            </w:r>
          </w:p>
        </w:tc>
        <w:tc>
          <w:tcPr>
            <w:tcW w:w="1174" w:type="dxa"/>
            <w:tcMar>
              <w:top w:w="240" w:type="dxa"/>
              <w:left w:w="240" w:type="dxa"/>
              <w:bottom w:w="240" w:type="dxa"/>
              <w:right w:w="240" w:type="dxa"/>
            </w:tcMar>
            <w:vAlign w:val="center"/>
            <w:hideMark/>
          </w:tcPr>
          <w:p w14:paraId="246A0557"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lastRenderedPageBreak/>
              <w:t>2,7392 €</w:t>
            </w:r>
          </w:p>
        </w:tc>
      </w:tr>
    </w:tbl>
    <w:p w14:paraId="5DE227BD" w14:textId="77777777" w:rsidR="00B62D4A" w:rsidRPr="00704344" w:rsidRDefault="00B62D4A" w:rsidP="00B62D4A">
      <w:pPr>
        <w:numPr>
          <w:ilvl w:val="0"/>
          <w:numId w:val="1"/>
        </w:numPr>
        <w:spacing w:after="0" w:line="240" w:lineRule="auto"/>
        <w:ind w:left="0"/>
        <w:rPr>
          <w:rFonts w:ascii="Times New Roman" w:eastAsia="Times New Roman" w:hAnsi="Times New Roman" w:cs="Times New Roman"/>
          <w:sz w:val="16"/>
          <w:szCs w:val="16"/>
          <w:lang w:val="en-NL" w:eastAsia="en-NL"/>
        </w:rPr>
      </w:pPr>
      <w:r w:rsidRPr="00704344">
        <w:rPr>
          <w:rFonts w:ascii="Times New Roman" w:eastAsia="Times New Roman" w:hAnsi="Times New Roman" w:cs="Times New Roman"/>
          <w:sz w:val="16"/>
          <w:szCs w:val="16"/>
          <w:lang w:val="en-NL" w:eastAsia="en-NL"/>
        </w:rPr>
        <w:t>*Available soon</w:t>
      </w:r>
    </w:p>
    <w:p w14:paraId="481B65A9" w14:textId="77777777" w:rsidR="00B62D4A" w:rsidRPr="00704344" w:rsidRDefault="00B62D4A" w:rsidP="00B62D4A">
      <w:pPr>
        <w:shd w:val="clear" w:color="auto" w:fill="FBF9F8"/>
        <w:spacing w:after="192" w:line="240" w:lineRule="auto"/>
        <w:outlineLvl w:val="1"/>
        <w:rPr>
          <w:rFonts w:ascii="Segoe UI" w:eastAsia="Times New Roman" w:hAnsi="Segoe UI" w:cs="Segoe UI"/>
          <w:b/>
          <w:bCs/>
          <w:color w:val="000000"/>
          <w:sz w:val="16"/>
          <w:szCs w:val="16"/>
          <w:lang w:val="en-NL" w:eastAsia="en-NL"/>
        </w:rPr>
      </w:pPr>
      <w:r w:rsidRPr="00704344">
        <w:rPr>
          <w:rFonts w:ascii="Segoe UI" w:eastAsia="Times New Roman" w:hAnsi="Segoe UI" w:cs="Segoe UI"/>
          <w:b/>
          <w:bCs/>
          <w:color w:val="000000"/>
          <w:sz w:val="16"/>
          <w:szCs w:val="16"/>
          <w:lang w:val="en-NL" w:eastAsia="en-NL"/>
        </w:rPr>
        <w:t>Compute - Operating Systems</w:t>
      </w:r>
    </w:p>
    <w:tbl>
      <w:tblPr>
        <w:tblW w:w="6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60"/>
        <w:gridCol w:w="2693"/>
      </w:tblGrid>
      <w:tr w:rsidR="00B62D4A" w:rsidRPr="00704344" w14:paraId="28E9276D" w14:textId="77777777" w:rsidTr="00B62D4A">
        <w:trPr>
          <w:tblHeader/>
        </w:trPr>
        <w:tc>
          <w:tcPr>
            <w:tcW w:w="4160" w:type="dxa"/>
            <w:tcMar>
              <w:top w:w="332" w:type="dxa"/>
              <w:left w:w="332" w:type="dxa"/>
              <w:bottom w:w="332" w:type="dxa"/>
              <w:right w:w="332" w:type="dxa"/>
            </w:tcMar>
            <w:vAlign w:val="center"/>
            <w:hideMark/>
          </w:tcPr>
          <w:p w14:paraId="5E17E2BA"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Operating Systems</w:t>
            </w:r>
          </w:p>
        </w:tc>
        <w:tc>
          <w:tcPr>
            <w:tcW w:w="2693" w:type="dxa"/>
            <w:tcMar>
              <w:top w:w="332" w:type="dxa"/>
              <w:left w:w="332" w:type="dxa"/>
              <w:bottom w:w="332" w:type="dxa"/>
              <w:right w:w="332" w:type="dxa"/>
            </w:tcMar>
            <w:vAlign w:val="center"/>
            <w:hideMark/>
          </w:tcPr>
          <w:p w14:paraId="5561EDB5"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Unit Price (OCPU Per Hour)</w:t>
            </w:r>
          </w:p>
        </w:tc>
      </w:tr>
      <w:tr w:rsidR="00B62D4A" w:rsidRPr="00704344" w14:paraId="416870F0" w14:textId="77777777" w:rsidTr="00B62D4A">
        <w:tc>
          <w:tcPr>
            <w:tcW w:w="4160" w:type="dxa"/>
            <w:tcMar>
              <w:top w:w="240" w:type="dxa"/>
              <w:left w:w="240" w:type="dxa"/>
              <w:bottom w:w="240" w:type="dxa"/>
              <w:right w:w="240" w:type="dxa"/>
            </w:tcMar>
            <w:vAlign w:val="center"/>
            <w:hideMark/>
          </w:tcPr>
          <w:p w14:paraId="139A3EF1"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Oracle Linux 6/7*</w:t>
            </w:r>
          </w:p>
        </w:tc>
        <w:tc>
          <w:tcPr>
            <w:tcW w:w="2693" w:type="dxa"/>
            <w:tcMar>
              <w:top w:w="240" w:type="dxa"/>
              <w:left w:w="240" w:type="dxa"/>
              <w:bottom w:w="240" w:type="dxa"/>
              <w:right w:w="240" w:type="dxa"/>
            </w:tcMar>
            <w:vAlign w:val="center"/>
            <w:hideMark/>
          </w:tcPr>
          <w:p w14:paraId="1F6D5BD3"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Free</w:t>
            </w:r>
          </w:p>
        </w:tc>
      </w:tr>
      <w:tr w:rsidR="00B62D4A" w:rsidRPr="00704344" w14:paraId="7B320406" w14:textId="77777777" w:rsidTr="00B62D4A">
        <w:tc>
          <w:tcPr>
            <w:tcW w:w="4160" w:type="dxa"/>
            <w:tcMar>
              <w:top w:w="240" w:type="dxa"/>
              <w:left w:w="240" w:type="dxa"/>
              <w:bottom w:w="240" w:type="dxa"/>
              <w:right w:w="240" w:type="dxa"/>
            </w:tcMar>
            <w:vAlign w:val="center"/>
            <w:hideMark/>
          </w:tcPr>
          <w:p w14:paraId="5EC1855F"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CentOS 6.x/7.x</w:t>
            </w:r>
          </w:p>
        </w:tc>
        <w:tc>
          <w:tcPr>
            <w:tcW w:w="2693" w:type="dxa"/>
            <w:tcMar>
              <w:top w:w="240" w:type="dxa"/>
              <w:left w:w="240" w:type="dxa"/>
              <w:bottom w:w="240" w:type="dxa"/>
              <w:right w:w="240" w:type="dxa"/>
            </w:tcMar>
            <w:vAlign w:val="center"/>
            <w:hideMark/>
          </w:tcPr>
          <w:p w14:paraId="412673B7"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Free</w:t>
            </w:r>
          </w:p>
        </w:tc>
      </w:tr>
      <w:tr w:rsidR="00B62D4A" w:rsidRPr="00704344" w14:paraId="123474CE" w14:textId="77777777" w:rsidTr="00B62D4A">
        <w:tc>
          <w:tcPr>
            <w:tcW w:w="4160" w:type="dxa"/>
            <w:tcMar>
              <w:top w:w="240" w:type="dxa"/>
              <w:left w:w="240" w:type="dxa"/>
              <w:bottom w:w="240" w:type="dxa"/>
              <w:right w:w="240" w:type="dxa"/>
            </w:tcMar>
            <w:vAlign w:val="center"/>
            <w:hideMark/>
          </w:tcPr>
          <w:p w14:paraId="48D1647F"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Ubuntu 14.x/16.x</w:t>
            </w:r>
          </w:p>
        </w:tc>
        <w:tc>
          <w:tcPr>
            <w:tcW w:w="2693" w:type="dxa"/>
            <w:tcMar>
              <w:top w:w="240" w:type="dxa"/>
              <w:left w:w="240" w:type="dxa"/>
              <w:bottom w:w="240" w:type="dxa"/>
              <w:right w:w="240" w:type="dxa"/>
            </w:tcMar>
            <w:vAlign w:val="center"/>
            <w:hideMark/>
          </w:tcPr>
          <w:p w14:paraId="240941F7"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Free</w:t>
            </w:r>
          </w:p>
        </w:tc>
      </w:tr>
      <w:tr w:rsidR="00B62D4A" w:rsidRPr="00704344" w14:paraId="1D29F110" w14:textId="77777777" w:rsidTr="00B62D4A">
        <w:tc>
          <w:tcPr>
            <w:tcW w:w="4160" w:type="dxa"/>
            <w:tcMar>
              <w:top w:w="240" w:type="dxa"/>
              <w:left w:w="240" w:type="dxa"/>
              <w:bottom w:w="240" w:type="dxa"/>
              <w:right w:w="240" w:type="dxa"/>
            </w:tcMar>
            <w:vAlign w:val="center"/>
            <w:hideMark/>
          </w:tcPr>
          <w:p w14:paraId="0171AEAC"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Windows OS**</w:t>
            </w:r>
          </w:p>
          <w:p w14:paraId="0146B9EE" w14:textId="77777777" w:rsidR="00B62D4A" w:rsidRPr="00704344" w:rsidRDefault="00B62D4A" w:rsidP="00B62D4A">
            <w:pPr>
              <w:numPr>
                <w:ilvl w:val="0"/>
                <w:numId w:val="2"/>
              </w:numPr>
              <w:spacing w:after="144" w:line="240" w:lineRule="auto"/>
              <w:ind w:left="0" w:right="240"/>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 xml:space="preserve">Server 2016 Standard and </w:t>
            </w:r>
            <w:proofErr w:type="spellStart"/>
            <w:r w:rsidRPr="00704344">
              <w:rPr>
                <w:rFonts w:ascii="Times New Roman" w:eastAsia="Times New Roman" w:hAnsi="Times New Roman" w:cs="Times New Roman"/>
                <w:b/>
                <w:bCs/>
                <w:color w:val="161513"/>
                <w:sz w:val="16"/>
                <w:szCs w:val="16"/>
                <w:lang w:val="en-NL" w:eastAsia="en-NL"/>
              </w:rPr>
              <w:t>Datacenter</w:t>
            </w:r>
            <w:proofErr w:type="spellEnd"/>
          </w:p>
          <w:p w14:paraId="115790D8" w14:textId="77777777" w:rsidR="00B62D4A" w:rsidRPr="00704344" w:rsidRDefault="00B62D4A" w:rsidP="00B62D4A">
            <w:pPr>
              <w:numPr>
                <w:ilvl w:val="0"/>
                <w:numId w:val="2"/>
              </w:numPr>
              <w:spacing w:after="144" w:line="240" w:lineRule="auto"/>
              <w:ind w:left="0" w:right="240"/>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 xml:space="preserve">Server 2012 R2 Standard and </w:t>
            </w:r>
            <w:proofErr w:type="spellStart"/>
            <w:r w:rsidRPr="00704344">
              <w:rPr>
                <w:rFonts w:ascii="Times New Roman" w:eastAsia="Times New Roman" w:hAnsi="Times New Roman" w:cs="Times New Roman"/>
                <w:b/>
                <w:bCs/>
                <w:color w:val="161513"/>
                <w:sz w:val="16"/>
                <w:szCs w:val="16"/>
                <w:lang w:val="en-NL" w:eastAsia="en-NL"/>
              </w:rPr>
              <w:t>Datacenter</w:t>
            </w:r>
            <w:proofErr w:type="spellEnd"/>
          </w:p>
          <w:p w14:paraId="675C61FA" w14:textId="77777777" w:rsidR="00B62D4A" w:rsidRPr="00704344" w:rsidRDefault="00B62D4A" w:rsidP="00B62D4A">
            <w:pPr>
              <w:numPr>
                <w:ilvl w:val="0"/>
                <w:numId w:val="2"/>
              </w:numPr>
              <w:spacing w:after="144" w:line="240" w:lineRule="auto"/>
              <w:ind w:left="0" w:right="240"/>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 xml:space="preserve">Server 2012 Standard and </w:t>
            </w:r>
            <w:proofErr w:type="spellStart"/>
            <w:r w:rsidRPr="00704344">
              <w:rPr>
                <w:rFonts w:ascii="Times New Roman" w:eastAsia="Times New Roman" w:hAnsi="Times New Roman" w:cs="Times New Roman"/>
                <w:b/>
                <w:bCs/>
                <w:color w:val="161513"/>
                <w:sz w:val="16"/>
                <w:szCs w:val="16"/>
                <w:lang w:val="en-NL" w:eastAsia="en-NL"/>
              </w:rPr>
              <w:t>Datacenter</w:t>
            </w:r>
            <w:proofErr w:type="spellEnd"/>
          </w:p>
          <w:p w14:paraId="5E27AB84" w14:textId="77777777" w:rsidR="00B62D4A" w:rsidRPr="00704344" w:rsidRDefault="00B62D4A" w:rsidP="00B62D4A">
            <w:pPr>
              <w:numPr>
                <w:ilvl w:val="0"/>
                <w:numId w:val="2"/>
              </w:numPr>
              <w:spacing w:after="144" w:line="240" w:lineRule="auto"/>
              <w:ind w:left="0" w:right="240"/>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 xml:space="preserve">Server 2008 R2 Standard, Enterprise and </w:t>
            </w:r>
            <w:proofErr w:type="spellStart"/>
            <w:r w:rsidRPr="00704344">
              <w:rPr>
                <w:rFonts w:ascii="Times New Roman" w:eastAsia="Times New Roman" w:hAnsi="Times New Roman" w:cs="Times New Roman"/>
                <w:b/>
                <w:bCs/>
                <w:color w:val="161513"/>
                <w:sz w:val="16"/>
                <w:szCs w:val="16"/>
                <w:lang w:val="en-NL" w:eastAsia="en-NL"/>
              </w:rPr>
              <w:t>Datacenter</w:t>
            </w:r>
            <w:proofErr w:type="spellEnd"/>
          </w:p>
        </w:tc>
        <w:tc>
          <w:tcPr>
            <w:tcW w:w="2693" w:type="dxa"/>
            <w:tcMar>
              <w:top w:w="240" w:type="dxa"/>
              <w:left w:w="240" w:type="dxa"/>
              <w:bottom w:w="240" w:type="dxa"/>
              <w:right w:w="240" w:type="dxa"/>
            </w:tcMar>
            <w:vAlign w:val="center"/>
            <w:hideMark/>
          </w:tcPr>
          <w:p w14:paraId="32EBDA7E"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0,0826252 €</w:t>
            </w:r>
          </w:p>
        </w:tc>
      </w:tr>
    </w:tbl>
    <w:p w14:paraId="6D11ABC1" w14:textId="77777777" w:rsidR="00B62D4A" w:rsidRPr="00704344" w:rsidRDefault="00B62D4A" w:rsidP="00B62D4A">
      <w:pPr>
        <w:shd w:val="clear" w:color="auto" w:fill="FBF9F8"/>
        <w:spacing w:after="264"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 xml:space="preserve">*Oracle Linux Premier Support included. With the Unbreakable Enterprise Kernel (UEK), part of Oracle Linux, customers can take advantage of </w:t>
      </w:r>
      <w:proofErr w:type="spellStart"/>
      <w:r w:rsidRPr="00704344">
        <w:rPr>
          <w:rFonts w:ascii="Segoe UI" w:eastAsia="Times New Roman" w:hAnsi="Segoe UI" w:cs="Segoe UI"/>
          <w:color w:val="000000"/>
          <w:sz w:val="16"/>
          <w:szCs w:val="16"/>
          <w:lang w:val="en-NL" w:eastAsia="en-NL"/>
        </w:rPr>
        <w:t>Ksplice</w:t>
      </w:r>
      <w:proofErr w:type="spellEnd"/>
      <w:r w:rsidRPr="00704344">
        <w:rPr>
          <w:rFonts w:ascii="Segoe UI" w:eastAsia="Times New Roman" w:hAnsi="Segoe UI" w:cs="Segoe UI"/>
          <w:color w:val="000000"/>
          <w:sz w:val="16"/>
          <w:szCs w:val="16"/>
          <w:lang w:val="en-NL" w:eastAsia="en-NL"/>
        </w:rPr>
        <w:t xml:space="preserve"> zero-downtime updates.</w:t>
      </w:r>
    </w:p>
    <w:p w14:paraId="59F70D1D" w14:textId="77777777" w:rsidR="00B62D4A" w:rsidRPr="00704344" w:rsidRDefault="00B62D4A" w:rsidP="00B62D4A">
      <w:pPr>
        <w:shd w:val="clear" w:color="auto" w:fill="FBF9F8"/>
        <w:spacing w:after="0"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**Windows Server license cost is an add-on to the underlying compute instance price. You will pay for the compute instance cost and Windows license cost separately. You can get more information on how Microsoft Windows Server charges apply from the </w:t>
      </w:r>
      <w:hyperlink r:id="rId10" w:anchor="charged" w:history="1">
        <w:r w:rsidRPr="00704344">
          <w:rPr>
            <w:rFonts w:ascii="Segoe UI" w:eastAsia="Times New Roman" w:hAnsi="Segoe UI" w:cs="Segoe UI"/>
            <w:color w:val="00688C"/>
            <w:sz w:val="16"/>
            <w:szCs w:val="16"/>
            <w:u w:val="single"/>
            <w:lang w:val="en-NL" w:eastAsia="en-NL"/>
          </w:rPr>
          <w:t>Compute FAQ</w:t>
        </w:r>
      </w:hyperlink>
      <w:r w:rsidRPr="00704344">
        <w:rPr>
          <w:rFonts w:ascii="Segoe UI" w:eastAsia="Times New Roman" w:hAnsi="Segoe UI" w:cs="Segoe UI"/>
          <w:color w:val="000000"/>
          <w:sz w:val="16"/>
          <w:szCs w:val="16"/>
          <w:lang w:val="en-NL" w:eastAsia="en-NL"/>
        </w:rPr>
        <w:t> page.</w:t>
      </w:r>
    </w:p>
    <w:p w14:paraId="75BEF111" w14:textId="77777777" w:rsidR="00B62D4A" w:rsidRPr="00704344" w:rsidRDefault="00B62D4A" w:rsidP="00B62D4A">
      <w:pPr>
        <w:shd w:val="clear" w:color="auto" w:fill="FBF9F8"/>
        <w:spacing w:after="192" w:line="240" w:lineRule="auto"/>
        <w:outlineLvl w:val="1"/>
        <w:rPr>
          <w:rFonts w:ascii="Segoe UI" w:eastAsia="Times New Roman" w:hAnsi="Segoe UI" w:cs="Segoe UI"/>
          <w:b/>
          <w:bCs/>
          <w:color w:val="000000"/>
          <w:sz w:val="16"/>
          <w:szCs w:val="16"/>
          <w:lang w:val="en-NL" w:eastAsia="en-NL"/>
        </w:rPr>
      </w:pPr>
      <w:r w:rsidRPr="00704344">
        <w:rPr>
          <w:rFonts w:ascii="Segoe UI" w:eastAsia="Times New Roman" w:hAnsi="Segoe UI" w:cs="Segoe UI"/>
          <w:b/>
          <w:bCs/>
          <w:color w:val="000000"/>
          <w:sz w:val="16"/>
          <w:szCs w:val="16"/>
          <w:lang w:val="en-NL" w:eastAsia="en-NL"/>
        </w:rPr>
        <w:t>Compute - Legacy Compute Instances*</w:t>
      </w:r>
    </w:p>
    <w:tbl>
      <w:tblPr>
        <w:tblW w:w="7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34"/>
        <w:gridCol w:w="1560"/>
        <w:gridCol w:w="1842"/>
      </w:tblGrid>
      <w:tr w:rsidR="00B62D4A" w:rsidRPr="00704344" w14:paraId="0232DC0D" w14:textId="77777777" w:rsidTr="00B62D4A">
        <w:trPr>
          <w:tblHeader/>
        </w:trPr>
        <w:tc>
          <w:tcPr>
            <w:tcW w:w="3734" w:type="dxa"/>
            <w:tcMar>
              <w:top w:w="332" w:type="dxa"/>
              <w:left w:w="332" w:type="dxa"/>
              <w:bottom w:w="332" w:type="dxa"/>
              <w:right w:w="332" w:type="dxa"/>
            </w:tcMar>
            <w:vAlign w:val="center"/>
            <w:hideMark/>
          </w:tcPr>
          <w:p w14:paraId="393309B8"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Product</w:t>
            </w:r>
          </w:p>
        </w:tc>
        <w:tc>
          <w:tcPr>
            <w:tcW w:w="1560" w:type="dxa"/>
            <w:tcMar>
              <w:top w:w="332" w:type="dxa"/>
              <w:left w:w="332" w:type="dxa"/>
              <w:bottom w:w="332" w:type="dxa"/>
              <w:right w:w="332" w:type="dxa"/>
            </w:tcMar>
            <w:vAlign w:val="center"/>
            <w:hideMark/>
          </w:tcPr>
          <w:p w14:paraId="7608AB16"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Unit Price</w:t>
            </w:r>
          </w:p>
        </w:tc>
        <w:tc>
          <w:tcPr>
            <w:tcW w:w="1842" w:type="dxa"/>
            <w:tcMar>
              <w:top w:w="332" w:type="dxa"/>
              <w:left w:w="332" w:type="dxa"/>
              <w:bottom w:w="332" w:type="dxa"/>
              <w:right w:w="332" w:type="dxa"/>
            </w:tcMar>
            <w:vAlign w:val="center"/>
            <w:hideMark/>
          </w:tcPr>
          <w:p w14:paraId="459863A0" w14:textId="77777777" w:rsidR="00B62D4A" w:rsidRPr="00704344" w:rsidRDefault="00B62D4A" w:rsidP="00B62D4A">
            <w:pPr>
              <w:spacing w:after="0" w:line="240" w:lineRule="auto"/>
              <w:rPr>
                <w:rFonts w:ascii="Times New Roman" w:eastAsia="Times New Roman" w:hAnsi="Times New Roman" w:cs="Times New Roman"/>
                <w:b/>
                <w:bCs/>
                <w:sz w:val="16"/>
                <w:szCs w:val="16"/>
                <w:lang w:val="en-NL" w:eastAsia="en-NL"/>
              </w:rPr>
            </w:pPr>
            <w:r w:rsidRPr="00704344">
              <w:rPr>
                <w:rFonts w:ascii="Times New Roman" w:eastAsia="Times New Roman" w:hAnsi="Times New Roman" w:cs="Times New Roman"/>
                <w:b/>
                <w:bCs/>
                <w:sz w:val="16"/>
                <w:szCs w:val="16"/>
                <w:lang w:val="en-NL" w:eastAsia="en-NL"/>
              </w:rPr>
              <w:t>Metric</w:t>
            </w:r>
          </w:p>
        </w:tc>
      </w:tr>
      <w:tr w:rsidR="00B62D4A" w:rsidRPr="00704344" w14:paraId="4887ABC7" w14:textId="77777777" w:rsidTr="00B62D4A">
        <w:tc>
          <w:tcPr>
            <w:tcW w:w="3734" w:type="dxa"/>
            <w:tcMar>
              <w:top w:w="240" w:type="dxa"/>
              <w:left w:w="240" w:type="dxa"/>
              <w:bottom w:w="240" w:type="dxa"/>
              <w:right w:w="240" w:type="dxa"/>
            </w:tcMar>
            <w:vAlign w:val="center"/>
            <w:hideMark/>
          </w:tcPr>
          <w:p w14:paraId="743099EA"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Virtual Machine Standard - X5</w:t>
            </w:r>
          </w:p>
        </w:tc>
        <w:tc>
          <w:tcPr>
            <w:tcW w:w="1560" w:type="dxa"/>
            <w:tcMar>
              <w:top w:w="240" w:type="dxa"/>
              <w:left w:w="240" w:type="dxa"/>
              <w:bottom w:w="240" w:type="dxa"/>
              <w:right w:w="240" w:type="dxa"/>
            </w:tcMar>
            <w:vAlign w:val="center"/>
            <w:hideMark/>
          </w:tcPr>
          <w:p w14:paraId="078D92E2"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0,05729878 €</w:t>
            </w:r>
          </w:p>
        </w:tc>
        <w:tc>
          <w:tcPr>
            <w:tcW w:w="1842" w:type="dxa"/>
            <w:tcMar>
              <w:top w:w="240" w:type="dxa"/>
              <w:left w:w="240" w:type="dxa"/>
              <w:bottom w:w="240" w:type="dxa"/>
              <w:right w:w="240" w:type="dxa"/>
            </w:tcMar>
            <w:vAlign w:val="center"/>
            <w:hideMark/>
          </w:tcPr>
          <w:p w14:paraId="5D48AFA8"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r w:rsidR="00B62D4A" w:rsidRPr="00704344" w14:paraId="297AB7F3" w14:textId="77777777" w:rsidTr="00B62D4A">
        <w:tc>
          <w:tcPr>
            <w:tcW w:w="3734" w:type="dxa"/>
            <w:tcMar>
              <w:top w:w="240" w:type="dxa"/>
              <w:left w:w="240" w:type="dxa"/>
              <w:bottom w:w="240" w:type="dxa"/>
              <w:right w:w="240" w:type="dxa"/>
            </w:tcMar>
            <w:vAlign w:val="center"/>
            <w:hideMark/>
          </w:tcPr>
          <w:p w14:paraId="17D5D2C7" w14:textId="77777777" w:rsidR="00B62D4A" w:rsidRPr="00704344" w:rsidRDefault="00B62D4A" w:rsidP="00B62D4A">
            <w:pPr>
              <w:spacing w:after="0" w:line="240" w:lineRule="auto"/>
              <w:rPr>
                <w:rFonts w:ascii="Times New Roman" w:eastAsia="Times New Roman" w:hAnsi="Times New Roman" w:cs="Times New Roman"/>
                <w:b/>
                <w:bCs/>
                <w:color w:val="161513"/>
                <w:sz w:val="16"/>
                <w:szCs w:val="16"/>
                <w:lang w:val="en-NL" w:eastAsia="en-NL"/>
              </w:rPr>
            </w:pPr>
            <w:r w:rsidRPr="00704344">
              <w:rPr>
                <w:rFonts w:ascii="Times New Roman" w:eastAsia="Times New Roman" w:hAnsi="Times New Roman" w:cs="Times New Roman"/>
                <w:b/>
                <w:bCs/>
                <w:color w:val="161513"/>
                <w:sz w:val="16"/>
                <w:szCs w:val="16"/>
                <w:lang w:val="en-NL" w:eastAsia="en-NL"/>
              </w:rPr>
              <w:t>Compute - Bare Metal Standard - X5</w:t>
            </w:r>
          </w:p>
        </w:tc>
        <w:tc>
          <w:tcPr>
            <w:tcW w:w="1560" w:type="dxa"/>
            <w:tcMar>
              <w:top w:w="240" w:type="dxa"/>
              <w:left w:w="240" w:type="dxa"/>
              <w:bottom w:w="240" w:type="dxa"/>
              <w:right w:w="240" w:type="dxa"/>
            </w:tcMar>
            <w:vAlign w:val="center"/>
            <w:hideMark/>
          </w:tcPr>
          <w:p w14:paraId="0103DBD6"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0,05729878 €</w:t>
            </w:r>
          </w:p>
        </w:tc>
        <w:tc>
          <w:tcPr>
            <w:tcW w:w="1842" w:type="dxa"/>
            <w:tcMar>
              <w:top w:w="240" w:type="dxa"/>
              <w:left w:w="240" w:type="dxa"/>
              <w:bottom w:w="240" w:type="dxa"/>
              <w:right w:w="240" w:type="dxa"/>
            </w:tcMar>
            <w:vAlign w:val="center"/>
            <w:hideMark/>
          </w:tcPr>
          <w:p w14:paraId="0C15556C" w14:textId="77777777" w:rsidR="00B62D4A" w:rsidRPr="00704344" w:rsidRDefault="00B62D4A" w:rsidP="00B62D4A">
            <w:pPr>
              <w:spacing w:after="0" w:line="240" w:lineRule="auto"/>
              <w:rPr>
                <w:rFonts w:ascii="Times New Roman" w:eastAsia="Times New Roman" w:hAnsi="Times New Roman" w:cs="Times New Roman"/>
                <w:color w:val="161513"/>
                <w:sz w:val="16"/>
                <w:szCs w:val="16"/>
                <w:lang w:val="en-NL" w:eastAsia="en-NL"/>
              </w:rPr>
            </w:pPr>
            <w:r w:rsidRPr="00704344">
              <w:rPr>
                <w:rFonts w:ascii="Times New Roman" w:eastAsia="Times New Roman" w:hAnsi="Times New Roman" w:cs="Times New Roman"/>
                <w:color w:val="161513"/>
                <w:sz w:val="16"/>
                <w:szCs w:val="16"/>
                <w:lang w:val="en-NL" w:eastAsia="en-NL"/>
              </w:rPr>
              <w:t>OCPU Per Hour</w:t>
            </w:r>
          </w:p>
        </w:tc>
      </w:tr>
    </w:tbl>
    <w:p w14:paraId="63EFAE98" w14:textId="77777777" w:rsidR="00B62D4A" w:rsidRPr="00704344" w:rsidRDefault="00B62D4A" w:rsidP="00B62D4A">
      <w:pPr>
        <w:shd w:val="clear" w:color="auto" w:fill="FBF9F8"/>
        <w:spacing w:after="264" w:line="240" w:lineRule="auto"/>
        <w:rPr>
          <w:rFonts w:ascii="Segoe UI" w:eastAsia="Times New Roman" w:hAnsi="Segoe UI" w:cs="Segoe UI"/>
          <w:color w:val="000000"/>
          <w:sz w:val="16"/>
          <w:szCs w:val="16"/>
          <w:lang w:val="en-NL" w:eastAsia="en-NL"/>
        </w:rPr>
      </w:pPr>
      <w:r w:rsidRPr="00704344">
        <w:rPr>
          <w:rFonts w:ascii="Segoe UI" w:eastAsia="Times New Roman" w:hAnsi="Segoe UI" w:cs="Segoe UI"/>
          <w:color w:val="000000"/>
          <w:sz w:val="16"/>
          <w:szCs w:val="16"/>
          <w:lang w:val="en-NL" w:eastAsia="en-NL"/>
        </w:rPr>
        <w:t>*Legacy Compute Instances are in use by some current customers but are no longer available for new deployments.</w:t>
      </w:r>
    </w:p>
    <w:p w14:paraId="036B0B55" w14:textId="3C9E6670" w:rsidR="00B62D4A" w:rsidRPr="00704344" w:rsidRDefault="00B62D4A">
      <w:pPr>
        <w:rPr>
          <w:sz w:val="16"/>
          <w:szCs w:val="16"/>
          <w:lang w:val="en-NL"/>
        </w:rPr>
      </w:pPr>
    </w:p>
    <w:p w14:paraId="7DE98397" w14:textId="77777777" w:rsidR="00704344" w:rsidRPr="00704344" w:rsidRDefault="00704344" w:rsidP="00704344">
      <w:pPr>
        <w:pStyle w:val="Kop2"/>
        <w:shd w:val="clear" w:color="auto" w:fill="FBF9F8"/>
        <w:spacing w:before="0" w:beforeAutospacing="0" w:after="36" w:afterAutospacing="0"/>
        <w:rPr>
          <w:rFonts w:ascii="Segoe UI" w:hAnsi="Segoe UI" w:cs="Segoe UI"/>
          <w:color w:val="000000"/>
          <w:sz w:val="16"/>
          <w:szCs w:val="16"/>
        </w:rPr>
      </w:pPr>
      <w:r w:rsidRPr="00704344">
        <w:rPr>
          <w:rFonts w:ascii="Segoe UI" w:hAnsi="Segoe UI" w:cs="Segoe UI"/>
          <w:color w:val="000000"/>
          <w:sz w:val="16"/>
          <w:szCs w:val="16"/>
        </w:rPr>
        <w:lastRenderedPageBreak/>
        <w:t>Oracle Storage Cloud Pricing</w:t>
      </w:r>
    </w:p>
    <w:p w14:paraId="026A28B4" w14:textId="77777777" w:rsidR="00704344" w:rsidRPr="00704344" w:rsidRDefault="00704344" w:rsidP="00704344">
      <w:pPr>
        <w:shd w:val="clear" w:color="auto" w:fill="FBF9F8"/>
        <w:rPr>
          <w:rFonts w:ascii="Segoe UI" w:hAnsi="Segoe UI" w:cs="Segoe UI"/>
          <w:color w:val="000000"/>
          <w:sz w:val="16"/>
          <w:szCs w:val="16"/>
        </w:rPr>
      </w:pPr>
      <w:hyperlink r:id="rId11" w:history="1">
        <w:r w:rsidRPr="00704344">
          <w:rPr>
            <w:rStyle w:val="Hyperlink"/>
            <w:rFonts w:ascii="inherit" w:hAnsi="inherit" w:cs="Segoe UI"/>
            <w:sz w:val="16"/>
            <w:szCs w:val="16"/>
            <w:bdr w:val="none" w:sz="0" w:space="0" w:color="auto" w:frame="1"/>
            <w:shd w:val="clear" w:color="auto" w:fill="6F915D"/>
          </w:rPr>
          <w:t>Cost Estimator</w:t>
        </w:r>
      </w:hyperlink>
    </w:p>
    <w:tbl>
      <w:tblPr>
        <w:tblW w:w="7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33"/>
        <w:gridCol w:w="1418"/>
        <w:gridCol w:w="4394"/>
      </w:tblGrid>
      <w:tr w:rsidR="00704344" w:rsidRPr="00704344" w14:paraId="0238BE02" w14:textId="77777777" w:rsidTr="00704344">
        <w:trPr>
          <w:tblHeader/>
        </w:trPr>
        <w:tc>
          <w:tcPr>
            <w:tcW w:w="2033" w:type="dxa"/>
            <w:tcMar>
              <w:top w:w="332" w:type="dxa"/>
              <w:left w:w="332" w:type="dxa"/>
              <w:bottom w:w="332" w:type="dxa"/>
              <w:right w:w="332" w:type="dxa"/>
            </w:tcMar>
            <w:vAlign w:val="center"/>
            <w:hideMark/>
          </w:tcPr>
          <w:p w14:paraId="3DA823C8" w14:textId="77777777" w:rsidR="00704344" w:rsidRPr="00704344" w:rsidRDefault="00704344">
            <w:pPr>
              <w:rPr>
                <w:rFonts w:ascii="Times New Roman" w:hAnsi="Times New Roman" w:cs="Times New Roman"/>
                <w:b/>
                <w:bCs/>
                <w:sz w:val="16"/>
                <w:szCs w:val="16"/>
              </w:rPr>
            </w:pPr>
            <w:r w:rsidRPr="00704344">
              <w:rPr>
                <w:b/>
                <w:bCs/>
                <w:sz w:val="16"/>
                <w:szCs w:val="16"/>
              </w:rPr>
              <w:t>Product</w:t>
            </w:r>
          </w:p>
        </w:tc>
        <w:tc>
          <w:tcPr>
            <w:tcW w:w="1418" w:type="dxa"/>
            <w:tcMar>
              <w:top w:w="332" w:type="dxa"/>
              <w:left w:w="332" w:type="dxa"/>
              <w:bottom w:w="332" w:type="dxa"/>
              <w:right w:w="332" w:type="dxa"/>
            </w:tcMar>
            <w:vAlign w:val="center"/>
            <w:hideMark/>
          </w:tcPr>
          <w:p w14:paraId="767197CE" w14:textId="77777777" w:rsidR="00704344" w:rsidRPr="00704344" w:rsidRDefault="00704344">
            <w:pPr>
              <w:rPr>
                <w:b/>
                <w:bCs/>
                <w:sz w:val="16"/>
                <w:szCs w:val="16"/>
              </w:rPr>
            </w:pPr>
            <w:r w:rsidRPr="00704344">
              <w:rPr>
                <w:b/>
                <w:bCs/>
                <w:sz w:val="16"/>
                <w:szCs w:val="16"/>
              </w:rPr>
              <w:t>Unit Price</w:t>
            </w:r>
          </w:p>
        </w:tc>
        <w:tc>
          <w:tcPr>
            <w:tcW w:w="4394" w:type="dxa"/>
            <w:tcMar>
              <w:top w:w="332" w:type="dxa"/>
              <w:left w:w="332" w:type="dxa"/>
              <w:bottom w:w="332" w:type="dxa"/>
              <w:right w:w="332" w:type="dxa"/>
            </w:tcMar>
            <w:vAlign w:val="center"/>
            <w:hideMark/>
          </w:tcPr>
          <w:p w14:paraId="7ED9BD1B" w14:textId="77777777" w:rsidR="00704344" w:rsidRPr="00704344" w:rsidRDefault="00704344">
            <w:pPr>
              <w:rPr>
                <w:b/>
                <w:bCs/>
                <w:sz w:val="16"/>
                <w:szCs w:val="16"/>
              </w:rPr>
            </w:pPr>
            <w:r w:rsidRPr="00704344">
              <w:rPr>
                <w:b/>
                <w:bCs/>
                <w:sz w:val="16"/>
                <w:szCs w:val="16"/>
              </w:rPr>
              <w:t>Metric</w:t>
            </w:r>
          </w:p>
        </w:tc>
      </w:tr>
      <w:tr w:rsidR="00704344" w:rsidRPr="00704344" w14:paraId="4D7807ED" w14:textId="77777777" w:rsidTr="00704344">
        <w:tc>
          <w:tcPr>
            <w:tcW w:w="2033" w:type="dxa"/>
            <w:tcMar>
              <w:top w:w="240" w:type="dxa"/>
              <w:left w:w="240" w:type="dxa"/>
              <w:bottom w:w="240" w:type="dxa"/>
              <w:right w:w="240" w:type="dxa"/>
            </w:tcMar>
            <w:vAlign w:val="center"/>
            <w:hideMark/>
          </w:tcPr>
          <w:p w14:paraId="55DDF651" w14:textId="77777777" w:rsidR="00704344" w:rsidRPr="00704344" w:rsidRDefault="00704344">
            <w:pPr>
              <w:rPr>
                <w:b/>
                <w:bCs/>
                <w:color w:val="161513"/>
                <w:sz w:val="16"/>
                <w:szCs w:val="16"/>
              </w:rPr>
            </w:pPr>
            <w:r w:rsidRPr="00704344">
              <w:rPr>
                <w:b/>
                <w:bCs/>
                <w:color w:val="161513"/>
                <w:sz w:val="16"/>
                <w:szCs w:val="16"/>
              </w:rPr>
              <w:t>Block Volume Storage</w:t>
            </w:r>
          </w:p>
        </w:tc>
        <w:tc>
          <w:tcPr>
            <w:tcW w:w="1418" w:type="dxa"/>
            <w:tcMar>
              <w:top w:w="240" w:type="dxa"/>
              <w:left w:w="240" w:type="dxa"/>
              <w:bottom w:w="240" w:type="dxa"/>
              <w:right w:w="240" w:type="dxa"/>
            </w:tcMar>
            <w:vAlign w:val="center"/>
            <w:hideMark/>
          </w:tcPr>
          <w:p w14:paraId="3F3F65FB" w14:textId="77777777" w:rsidR="00704344" w:rsidRPr="00704344" w:rsidRDefault="00704344">
            <w:pPr>
              <w:rPr>
                <w:color w:val="161513"/>
                <w:sz w:val="16"/>
                <w:szCs w:val="16"/>
              </w:rPr>
            </w:pPr>
            <w:r w:rsidRPr="00704344">
              <w:rPr>
                <w:color w:val="161513"/>
                <w:sz w:val="16"/>
                <w:szCs w:val="16"/>
              </w:rPr>
              <w:t>$0.0255</w:t>
            </w:r>
          </w:p>
        </w:tc>
        <w:tc>
          <w:tcPr>
            <w:tcW w:w="4394" w:type="dxa"/>
            <w:tcMar>
              <w:top w:w="240" w:type="dxa"/>
              <w:left w:w="240" w:type="dxa"/>
              <w:bottom w:w="240" w:type="dxa"/>
              <w:right w:w="240" w:type="dxa"/>
            </w:tcMar>
            <w:vAlign w:val="center"/>
            <w:hideMark/>
          </w:tcPr>
          <w:p w14:paraId="7E3835E2" w14:textId="77777777" w:rsidR="00704344" w:rsidRPr="00704344" w:rsidRDefault="00704344">
            <w:pPr>
              <w:rPr>
                <w:color w:val="161513"/>
                <w:sz w:val="16"/>
                <w:szCs w:val="16"/>
              </w:rPr>
            </w:pPr>
            <w:r w:rsidRPr="00704344">
              <w:rPr>
                <w:color w:val="161513"/>
                <w:sz w:val="16"/>
                <w:szCs w:val="16"/>
              </w:rPr>
              <w:t>GB Storage Capacity / Month</w:t>
            </w:r>
          </w:p>
        </w:tc>
      </w:tr>
      <w:tr w:rsidR="00704344" w:rsidRPr="00704344" w14:paraId="6B6DD0F3" w14:textId="77777777" w:rsidTr="00704344">
        <w:tc>
          <w:tcPr>
            <w:tcW w:w="2033" w:type="dxa"/>
            <w:tcMar>
              <w:top w:w="240" w:type="dxa"/>
              <w:left w:w="240" w:type="dxa"/>
              <w:bottom w:w="240" w:type="dxa"/>
              <w:right w:w="240" w:type="dxa"/>
            </w:tcMar>
            <w:vAlign w:val="center"/>
            <w:hideMark/>
          </w:tcPr>
          <w:p w14:paraId="10D4ED70" w14:textId="77777777" w:rsidR="00704344" w:rsidRPr="00704344" w:rsidRDefault="00704344">
            <w:pPr>
              <w:rPr>
                <w:b/>
                <w:bCs/>
                <w:color w:val="161513"/>
                <w:sz w:val="16"/>
                <w:szCs w:val="16"/>
              </w:rPr>
            </w:pPr>
            <w:r w:rsidRPr="00704344">
              <w:rPr>
                <w:b/>
                <w:bCs/>
                <w:color w:val="161513"/>
                <w:sz w:val="16"/>
                <w:szCs w:val="16"/>
              </w:rPr>
              <w:t>Block Volume Performance Units</w:t>
            </w:r>
          </w:p>
        </w:tc>
        <w:tc>
          <w:tcPr>
            <w:tcW w:w="1418" w:type="dxa"/>
            <w:tcMar>
              <w:top w:w="240" w:type="dxa"/>
              <w:left w:w="240" w:type="dxa"/>
              <w:bottom w:w="240" w:type="dxa"/>
              <w:right w:w="240" w:type="dxa"/>
            </w:tcMar>
            <w:vAlign w:val="center"/>
            <w:hideMark/>
          </w:tcPr>
          <w:p w14:paraId="53A58919" w14:textId="77777777" w:rsidR="00704344" w:rsidRPr="00704344" w:rsidRDefault="00704344">
            <w:pPr>
              <w:rPr>
                <w:color w:val="161513"/>
                <w:sz w:val="16"/>
                <w:szCs w:val="16"/>
              </w:rPr>
            </w:pPr>
            <w:r w:rsidRPr="00704344">
              <w:rPr>
                <w:color w:val="161513"/>
                <w:sz w:val="16"/>
                <w:szCs w:val="16"/>
              </w:rPr>
              <w:t>$0.0017</w:t>
            </w:r>
          </w:p>
        </w:tc>
        <w:tc>
          <w:tcPr>
            <w:tcW w:w="4394" w:type="dxa"/>
            <w:tcMar>
              <w:top w:w="240" w:type="dxa"/>
              <w:left w:w="240" w:type="dxa"/>
              <w:bottom w:w="240" w:type="dxa"/>
              <w:right w:w="240" w:type="dxa"/>
            </w:tcMar>
            <w:vAlign w:val="center"/>
            <w:hideMark/>
          </w:tcPr>
          <w:p w14:paraId="108972C1" w14:textId="77777777" w:rsidR="00704344" w:rsidRPr="00704344" w:rsidRDefault="00704344">
            <w:pPr>
              <w:rPr>
                <w:color w:val="161513"/>
                <w:sz w:val="16"/>
                <w:szCs w:val="16"/>
              </w:rPr>
            </w:pPr>
            <w:r w:rsidRPr="00704344">
              <w:rPr>
                <w:color w:val="161513"/>
                <w:sz w:val="16"/>
                <w:szCs w:val="16"/>
              </w:rPr>
              <w:t>Performance Units Per GB / Month</w:t>
            </w:r>
            <w:r w:rsidRPr="00704344">
              <w:rPr>
                <w:color w:val="161513"/>
                <w:sz w:val="16"/>
                <w:szCs w:val="16"/>
              </w:rPr>
              <w:br/>
            </w:r>
            <w:r w:rsidRPr="00704344">
              <w:rPr>
                <w:color w:val="161513"/>
                <w:sz w:val="16"/>
                <w:szCs w:val="16"/>
              </w:rPr>
              <w:br/>
            </w:r>
          </w:p>
          <w:p w14:paraId="04041475" w14:textId="77777777" w:rsidR="00704344" w:rsidRPr="00704344" w:rsidRDefault="00704344" w:rsidP="00704344">
            <w:pPr>
              <w:numPr>
                <w:ilvl w:val="0"/>
                <w:numId w:val="3"/>
              </w:numPr>
              <w:spacing w:after="144" w:line="240" w:lineRule="auto"/>
              <w:ind w:left="0" w:right="240"/>
              <w:rPr>
                <w:color w:val="161513"/>
                <w:sz w:val="16"/>
                <w:szCs w:val="16"/>
              </w:rPr>
            </w:pPr>
            <w:r w:rsidRPr="00704344">
              <w:rPr>
                <w:color w:val="161513"/>
                <w:sz w:val="16"/>
                <w:szCs w:val="16"/>
              </w:rPr>
              <w:t>0 VPUs at $0 for Lower Cost</w:t>
            </w:r>
          </w:p>
          <w:p w14:paraId="2B9184C7" w14:textId="77777777" w:rsidR="00704344" w:rsidRPr="00704344" w:rsidRDefault="00704344" w:rsidP="00704344">
            <w:pPr>
              <w:numPr>
                <w:ilvl w:val="0"/>
                <w:numId w:val="3"/>
              </w:numPr>
              <w:spacing w:after="144" w:line="240" w:lineRule="auto"/>
              <w:ind w:left="0" w:right="240"/>
              <w:rPr>
                <w:color w:val="161513"/>
                <w:sz w:val="16"/>
                <w:szCs w:val="16"/>
              </w:rPr>
            </w:pPr>
            <w:r w:rsidRPr="00704344">
              <w:rPr>
                <w:color w:val="161513"/>
                <w:sz w:val="16"/>
                <w:szCs w:val="16"/>
              </w:rPr>
              <w:t>10 VPUs at $0.017 for Balanced</w:t>
            </w:r>
          </w:p>
          <w:p w14:paraId="089F8995" w14:textId="77777777" w:rsidR="00704344" w:rsidRPr="00704344" w:rsidRDefault="00704344" w:rsidP="00704344">
            <w:pPr>
              <w:numPr>
                <w:ilvl w:val="0"/>
                <w:numId w:val="3"/>
              </w:numPr>
              <w:spacing w:after="144" w:line="240" w:lineRule="auto"/>
              <w:ind w:left="0" w:right="240"/>
              <w:rPr>
                <w:color w:val="161513"/>
                <w:sz w:val="16"/>
                <w:szCs w:val="16"/>
              </w:rPr>
            </w:pPr>
            <w:r w:rsidRPr="00704344">
              <w:rPr>
                <w:color w:val="161513"/>
                <w:sz w:val="16"/>
                <w:szCs w:val="16"/>
              </w:rPr>
              <w:t>20 VPUs at $0.034 for Higher Performance</w:t>
            </w:r>
          </w:p>
        </w:tc>
      </w:tr>
      <w:tr w:rsidR="00704344" w:rsidRPr="00704344" w14:paraId="6B9E6183" w14:textId="77777777" w:rsidTr="00704344">
        <w:tc>
          <w:tcPr>
            <w:tcW w:w="2033" w:type="dxa"/>
            <w:tcMar>
              <w:top w:w="240" w:type="dxa"/>
              <w:left w:w="240" w:type="dxa"/>
              <w:bottom w:w="240" w:type="dxa"/>
              <w:right w:w="240" w:type="dxa"/>
            </w:tcMar>
            <w:vAlign w:val="center"/>
            <w:hideMark/>
          </w:tcPr>
          <w:p w14:paraId="6EF5E07A" w14:textId="77777777" w:rsidR="00704344" w:rsidRPr="00704344" w:rsidRDefault="00704344">
            <w:pPr>
              <w:spacing w:after="0"/>
              <w:rPr>
                <w:b/>
                <w:bCs/>
                <w:color w:val="161513"/>
                <w:sz w:val="16"/>
                <w:szCs w:val="16"/>
              </w:rPr>
            </w:pPr>
            <w:r w:rsidRPr="00704344">
              <w:rPr>
                <w:b/>
                <w:bCs/>
                <w:color w:val="161513"/>
                <w:sz w:val="16"/>
                <w:szCs w:val="16"/>
              </w:rPr>
              <w:t>Block Volume Storage - Government</w:t>
            </w:r>
          </w:p>
        </w:tc>
        <w:tc>
          <w:tcPr>
            <w:tcW w:w="1418" w:type="dxa"/>
            <w:tcMar>
              <w:top w:w="240" w:type="dxa"/>
              <w:left w:w="240" w:type="dxa"/>
              <w:bottom w:w="240" w:type="dxa"/>
              <w:right w:w="240" w:type="dxa"/>
            </w:tcMar>
            <w:vAlign w:val="center"/>
            <w:hideMark/>
          </w:tcPr>
          <w:p w14:paraId="69B19F3B" w14:textId="77777777" w:rsidR="00704344" w:rsidRPr="00704344" w:rsidRDefault="00704344">
            <w:pPr>
              <w:rPr>
                <w:b/>
                <w:bCs/>
                <w:color w:val="161513"/>
                <w:sz w:val="16"/>
                <w:szCs w:val="16"/>
              </w:rPr>
            </w:pPr>
          </w:p>
        </w:tc>
        <w:tc>
          <w:tcPr>
            <w:tcW w:w="4394" w:type="dxa"/>
            <w:tcMar>
              <w:top w:w="240" w:type="dxa"/>
              <w:left w:w="240" w:type="dxa"/>
              <w:bottom w:w="240" w:type="dxa"/>
              <w:right w:w="240" w:type="dxa"/>
            </w:tcMar>
            <w:vAlign w:val="center"/>
            <w:hideMark/>
          </w:tcPr>
          <w:p w14:paraId="5E367E76" w14:textId="77777777" w:rsidR="00704344" w:rsidRPr="00704344" w:rsidRDefault="00704344">
            <w:pPr>
              <w:rPr>
                <w:color w:val="161513"/>
                <w:sz w:val="16"/>
                <w:szCs w:val="16"/>
              </w:rPr>
            </w:pPr>
            <w:r w:rsidRPr="00704344">
              <w:rPr>
                <w:color w:val="161513"/>
                <w:sz w:val="16"/>
                <w:szCs w:val="16"/>
              </w:rPr>
              <w:t>GB Storage Capacity / Month</w:t>
            </w:r>
          </w:p>
        </w:tc>
      </w:tr>
      <w:tr w:rsidR="00704344" w:rsidRPr="00704344" w14:paraId="407B4BDC" w14:textId="77777777" w:rsidTr="00704344">
        <w:tc>
          <w:tcPr>
            <w:tcW w:w="2033" w:type="dxa"/>
            <w:tcMar>
              <w:top w:w="240" w:type="dxa"/>
              <w:left w:w="240" w:type="dxa"/>
              <w:bottom w:w="240" w:type="dxa"/>
              <w:right w:w="240" w:type="dxa"/>
            </w:tcMar>
            <w:vAlign w:val="center"/>
            <w:hideMark/>
          </w:tcPr>
          <w:p w14:paraId="360FC6F7" w14:textId="77777777" w:rsidR="00704344" w:rsidRPr="00704344" w:rsidRDefault="00704344">
            <w:pPr>
              <w:rPr>
                <w:b/>
                <w:bCs/>
                <w:color w:val="161513"/>
                <w:sz w:val="16"/>
                <w:szCs w:val="16"/>
              </w:rPr>
            </w:pPr>
            <w:r w:rsidRPr="00704344">
              <w:rPr>
                <w:b/>
                <w:bCs/>
                <w:color w:val="161513"/>
                <w:sz w:val="16"/>
                <w:szCs w:val="16"/>
              </w:rPr>
              <w:t>Block Volume Performance Units - Government</w:t>
            </w:r>
          </w:p>
        </w:tc>
        <w:tc>
          <w:tcPr>
            <w:tcW w:w="1418" w:type="dxa"/>
            <w:tcMar>
              <w:top w:w="240" w:type="dxa"/>
              <w:left w:w="240" w:type="dxa"/>
              <w:bottom w:w="240" w:type="dxa"/>
              <w:right w:w="240" w:type="dxa"/>
            </w:tcMar>
            <w:vAlign w:val="center"/>
            <w:hideMark/>
          </w:tcPr>
          <w:p w14:paraId="1650CC9F" w14:textId="77777777" w:rsidR="00704344" w:rsidRPr="00704344" w:rsidRDefault="00704344">
            <w:pPr>
              <w:rPr>
                <w:b/>
                <w:bCs/>
                <w:color w:val="161513"/>
                <w:sz w:val="16"/>
                <w:szCs w:val="16"/>
              </w:rPr>
            </w:pPr>
          </w:p>
        </w:tc>
        <w:tc>
          <w:tcPr>
            <w:tcW w:w="4394" w:type="dxa"/>
            <w:tcMar>
              <w:top w:w="240" w:type="dxa"/>
              <w:left w:w="240" w:type="dxa"/>
              <w:bottom w:w="240" w:type="dxa"/>
              <w:right w:w="240" w:type="dxa"/>
            </w:tcMar>
            <w:vAlign w:val="center"/>
            <w:hideMark/>
          </w:tcPr>
          <w:p w14:paraId="34C6AFE7" w14:textId="77777777" w:rsidR="00704344" w:rsidRPr="00704344" w:rsidRDefault="00704344">
            <w:pPr>
              <w:rPr>
                <w:color w:val="161513"/>
                <w:sz w:val="16"/>
                <w:szCs w:val="16"/>
              </w:rPr>
            </w:pPr>
            <w:r w:rsidRPr="00704344">
              <w:rPr>
                <w:color w:val="161513"/>
                <w:sz w:val="16"/>
                <w:szCs w:val="16"/>
              </w:rPr>
              <w:t>Performance Units Per GB / Month</w:t>
            </w:r>
            <w:r w:rsidRPr="00704344">
              <w:rPr>
                <w:color w:val="161513"/>
                <w:sz w:val="16"/>
                <w:szCs w:val="16"/>
              </w:rPr>
              <w:br/>
            </w:r>
            <w:r w:rsidRPr="00704344">
              <w:rPr>
                <w:color w:val="161513"/>
                <w:sz w:val="16"/>
                <w:szCs w:val="16"/>
              </w:rPr>
              <w:br/>
            </w:r>
          </w:p>
          <w:p w14:paraId="4556F6FA" w14:textId="77777777" w:rsidR="00704344" w:rsidRPr="00704344" w:rsidRDefault="00704344" w:rsidP="00704344">
            <w:pPr>
              <w:numPr>
                <w:ilvl w:val="0"/>
                <w:numId w:val="4"/>
              </w:numPr>
              <w:spacing w:after="144" w:line="240" w:lineRule="auto"/>
              <w:ind w:left="0" w:right="240"/>
              <w:rPr>
                <w:color w:val="161513"/>
                <w:sz w:val="16"/>
                <w:szCs w:val="16"/>
              </w:rPr>
            </w:pPr>
            <w:r w:rsidRPr="00704344">
              <w:rPr>
                <w:color w:val="161513"/>
                <w:sz w:val="16"/>
                <w:szCs w:val="16"/>
              </w:rPr>
              <w:t>0 VPUs at $0 for Lower Cost</w:t>
            </w:r>
          </w:p>
          <w:p w14:paraId="344DA84B" w14:textId="77777777" w:rsidR="00704344" w:rsidRPr="00704344" w:rsidRDefault="00704344" w:rsidP="00704344">
            <w:pPr>
              <w:numPr>
                <w:ilvl w:val="0"/>
                <w:numId w:val="4"/>
              </w:numPr>
              <w:spacing w:after="144" w:line="240" w:lineRule="auto"/>
              <w:ind w:left="0" w:right="240"/>
              <w:rPr>
                <w:color w:val="161513"/>
                <w:sz w:val="16"/>
                <w:szCs w:val="16"/>
              </w:rPr>
            </w:pPr>
            <w:r w:rsidRPr="00704344">
              <w:rPr>
                <w:color w:val="161513"/>
                <w:sz w:val="16"/>
                <w:szCs w:val="16"/>
              </w:rPr>
              <w:t>10 VPUs at $0.017 for Balanced</w:t>
            </w:r>
          </w:p>
          <w:p w14:paraId="223E0610" w14:textId="77777777" w:rsidR="00704344" w:rsidRPr="00704344" w:rsidRDefault="00704344" w:rsidP="00704344">
            <w:pPr>
              <w:numPr>
                <w:ilvl w:val="0"/>
                <w:numId w:val="4"/>
              </w:numPr>
              <w:spacing w:after="144" w:line="240" w:lineRule="auto"/>
              <w:ind w:left="0" w:right="240"/>
              <w:rPr>
                <w:color w:val="161513"/>
                <w:sz w:val="16"/>
                <w:szCs w:val="16"/>
              </w:rPr>
            </w:pPr>
            <w:r w:rsidRPr="00704344">
              <w:rPr>
                <w:color w:val="161513"/>
                <w:sz w:val="16"/>
                <w:szCs w:val="16"/>
              </w:rPr>
              <w:t>20 VPUs at $0.034 for Higher Performance</w:t>
            </w:r>
          </w:p>
        </w:tc>
      </w:tr>
      <w:tr w:rsidR="00704344" w:rsidRPr="00704344" w14:paraId="713B999E" w14:textId="77777777" w:rsidTr="00704344">
        <w:tc>
          <w:tcPr>
            <w:tcW w:w="2033" w:type="dxa"/>
            <w:tcMar>
              <w:top w:w="240" w:type="dxa"/>
              <w:left w:w="240" w:type="dxa"/>
              <w:bottom w:w="240" w:type="dxa"/>
              <w:right w:w="240" w:type="dxa"/>
            </w:tcMar>
            <w:vAlign w:val="center"/>
            <w:hideMark/>
          </w:tcPr>
          <w:p w14:paraId="551A0BAA" w14:textId="77777777" w:rsidR="00704344" w:rsidRPr="00704344" w:rsidRDefault="00704344">
            <w:pPr>
              <w:spacing w:after="0"/>
              <w:rPr>
                <w:b/>
                <w:bCs/>
                <w:color w:val="161513"/>
                <w:sz w:val="16"/>
                <w:szCs w:val="16"/>
              </w:rPr>
            </w:pPr>
            <w:r w:rsidRPr="00704344">
              <w:rPr>
                <w:b/>
                <w:bCs/>
                <w:color w:val="161513"/>
                <w:sz w:val="16"/>
                <w:szCs w:val="16"/>
              </w:rPr>
              <w:t>Object Storage - Storage</w:t>
            </w:r>
          </w:p>
        </w:tc>
        <w:tc>
          <w:tcPr>
            <w:tcW w:w="1418" w:type="dxa"/>
            <w:tcMar>
              <w:top w:w="240" w:type="dxa"/>
              <w:left w:w="240" w:type="dxa"/>
              <w:bottom w:w="240" w:type="dxa"/>
              <w:right w:w="240" w:type="dxa"/>
            </w:tcMar>
            <w:vAlign w:val="center"/>
            <w:hideMark/>
          </w:tcPr>
          <w:p w14:paraId="633E634E" w14:textId="77777777" w:rsidR="00704344" w:rsidRPr="00704344" w:rsidRDefault="00704344">
            <w:pPr>
              <w:rPr>
                <w:color w:val="161513"/>
                <w:sz w:val="16"/>
                <w:szCs w:val="16"/>
              </w:rPr>
            </w:pPr>
            <w:r w:rsidRPr="00704344">
              <w:rPr>
                <w:color w:val="161513"/>
                <w:sz w:val="16"/>
                <w:szCs w:val="16"/>
              </w:rPr>
              <w:t>$0.0255</w:t>
            </w:r>
          </w:p>
        </w:tc>
        <w:tc>
          <w:tcPr>
            <w:tcW w:w="4394" w:type="dxa"/>
            <w:tcMar>
              <w:top w:w="240" w:type="dxa"/>
              <w:left w:w="240" w:type="dxa"/>
              <w:bottom w:w="240" w:type="dxa"/>
              <w:right w:w="240" w:type="dxa"/>
            </w:tcMar>
            <w:vAlign w:val="center"/>
            <w:hideMark/>
          </w:tcPr>
          <w:p w14:paraId="6B748C69" w14:textId="77777777" w:rsidR="00704344" w:rsidRPr="00704344" w:rsidRDefault="00704344">
            <w:pPr>
              <w:rPr>
                <w:color w:val="161513"/>
                <w:sz w:val="16"/>
                <w:szCs w:val="16"/>
              </w:rPr>
            </w:pPr>
            <w:r w:rsidRPr="00704344">
              <w:rPr>
                <w:color w:val="161513"/>
                <w:sz w:val="16"/>
                <w:szCs w:val="16"/>
              </w:rPr>
              <w:t>Gigabyte storage capacity per month</w:t>
            </w:r>
          </w:p>
        </w:tc>
      </w:tr>
      <w:tr w:rsidR="00704344" w:rsidRPr="00704344" w14:paraId="7ADC35AB" w14:textId="77777777" w:rsidTr="00704344">
        <w:tc>
          <w:tcPr>
            <w:tcW w:w="2033" w:type="dxa"/>
            <w:tcMar>
              <w:top w:w="240" w:type="dxa"/>
              <w:left w:w="240" w:type="dxa"/>
              <w:bottom w:w="240" w:type="dxa"/>
              <w:right w:w="240" w:type="dxa"/>
            </w:tcMar>
            <w:vAlign w:val="center"/>
            <w:hideMark/>
          </w:tcPr>
          <w:p w14:paraId="16813DCF" w14:textId="77777777" w:rsidR="00704344" w:rsidRPr="00704344" w:rsidRDefault="00704344">
            <w:pPr>
              <w:rPr>
                <w:b/>
                <w:bCs/>
                <w:color w:val="161513"/>
                <w:sz w:val="16"/>
                <w:szCs w:val="16"/>
              </w:rPr>
            </w:pPr>
            <w:r w:rsidRPr="00704344">
              <w:rPr>
                <w:b/>
                <w:bCs/>
                <w:color w:val="161513"/>
                <w:sz w:val="16"/>
                <w:szCs w:val="16"/>
              </w:rPr>
              <w:t>Object Storage - Requests</w:t>
            </w:r>
          </w:p>
        </w:tc>
        <w:tc>
          <w:tcPr>
            <w:tcW w:w="1418" w:type="dxa"/>
            <w:tcMar>
              <w:top w:w="240" w:type="dxa"/>
              <w:left w:w="240" w:type="dxa"/>
              <w:bottom w:w="240" w:type="dxa"/>
              <w:right w:w="240" w:type="dxa"/>
            </w:tcMar>
            <w:vAlign w:val="center"/>
            <w:hideMark/>
          </w:tcPr>
          <w:p w14:paraId="772CE7F7" w14:textId="77777777" w:rsidR="00704344" w:rsidRPr="00704344" w:rsidRDefault="00704344">
            <w:pPr>
              <w:rPr>
                <w:color w:val="161513"/>
                <w:sz w:val="16"/>
                <w:szCs w:val="16"/>
              </w:rPr>
            </w:pPr>
            <w:r w:rsidRPr="00704344">
              <w:rPr>
                <w:color w:val="161513"/>
                <w:sz w:val="16"/>
                <w:szCs w:val="16"/>
              </w:rPr>
              <w:t>$0.0034</w:t>
            </w:r>
          </w:p>
        </w:tc>
        <w:tc>
          <w:tcPr>
            <w:tcW w:w="4394" w:type="dxa"/>
            <w:tcMar>
              <w:top w:w="240" w:type="dxa"/>
              <w:left w:w="240" w:type="dxa"/>
              <w:bottom w:w="240" w:type="dxa"/>
              <w:right w:w="240" w:type="dxa"/>
            </w:tcMar>
            <w:vAlign w:val="center"/>
            <w:hideMark/>
          </w:tcPr>
          <w:p w14:paraId="10CBF0A9" w14:textId="77777777" w:rsidR="00704344" w:rsidRPr="00704344" w:rsidRDefault="00704344">
            <w:pPr>
              <w:rPr>
                <w:color w:val="161513"/>
                <w:sz w:val="16"/>
                <w:szCs w:val="16"/>
              </w:rPr>
            </w:pPr>
            <w:r w:rsidRPr="00704344">
              <w:rPr>
                <w:color w:val="161513"/>
                <w:sz w:val="16"/>
                <w:szCs w:val="16"/>
              </w:rPr>
              <w:t>10,000 requests per month</w:t>
            </w:r>
          </w:p>
        </w:tc>
      </w:tr>
      <w:tr w:rsidR="00704344" w:rsidRPr="00704344" w14:paraId="2E131182" w14:textId="77777777" w:rsidTr="00704344">
        <w:tc>
          <w:tcPr>
            <w:tcW w:w="2033" w:type="dxa"/>
            <w:tcMar>
              <w:top w:w="240" w:type="dxa"/>
              <w:left w:w="240" w:type="dxa"/>
              <w:bottom w:w="240" w:type="dxa"/>
              <w:right w:w="240" w:type="dxa"/>
            </w:tcMar>
            <w:vAlign w:val="center"/>
            <w:hideMark/>
          </w:tcPr>
          <w:p w14:paraId="6D03DCC0" w14:textId="77777777" w:rsidR="00704344" w:rsidRPr="00704344" w:rsidRDefault="00704344">
            <w:pPr>
              <w:rPr>
                <w:b/>
                <w:bCs/>
                <w:color w:val="161513"/>
                <w:sz w:val="16"/>
                <w:szCs w:val="16"/>
              </w:rPr>
            </w:pPr>
            <w:r w:rsidRPr="00704344">
              <w:rPr>
                <w:b/>
                <w:bCs/>
                <w:color w:val="161513"/>
                <w:sz w:val="16"/>
                <w:szCs w:val="16"/>
              </w:rPr>
              <w:t>File Storage</w:t>
            </w:r>
          </w:p>
        </w:tc>
        <w:tc>
          <w:tcPr>
            <w:tcW w:w="1418" w:type="dxa"/>
            <w:tcMar>
              <w:top w:w="240" w:type="dxa"/>
              <w:left w:w="240" w:type="dxa"/>
              <w:bottom w:w="240" w:type="dxa"/>
              <w:right w:w="240" w:type="dxa"/>
            </w:tcMar>
            <w:vAlign w:val="center"/>
            <w:hideMark/>
          </w:tcPr>
          <w:p w14:paraId="4838A6DD" w14:textId="77777777" w:rsidR="00704344" w:rsidRPr="00704344" w:rsidRDefault="00704344">
            <w:pPr>
              <w:rPr>
                <w:color w:val="161513"/>
                <w:sz w:val="16"/>
                <w:szCs w:val="16"/>
              </w:rPr>
            </w:pPr>
            <w:r w:rsidRPr="00704344">
              <w:rPr>
                <w:color w:val="161513"/>
                <w:sz w:val="16"/>
                <w:szCs w:val="16"/>
              </w:rPr>
              <w:t>$0.30</w:t>
            </w:r>
          </w:p>
        </w:tc>
        <w:tc>
          <w:tcPr>
            <w:tcW w:w="4394" w:type="dxa"/>
            <w:tcMar>
              <w:top w:w="240" w:type="dxa"/>
              <w:left w:w="240" w:type="dxa"/>
              <w:bottom w:w="240" w:type="dxa"/>
              <w:right w:w="240" w:type="dxa"/>
            </w:tcMar>
            <w:vAlign w:val="center"/>
            <w:hideMark/>
          </w:tcPr>
          <w:p w14:paraId="40664287" w14:textId="77777777" w:rsidR="00704344" w:rsidRPr="00704344" w:rsidRDefault="00704344">
            <w:pPr>
              <w:rPr>
                <w:color w:val="161513"/>
                <w:sz w:val="16"/>
                <w:szCs w:val="16"/>
              </w:rPr>
            </w:pPr>
            <w:r w:rsidRPr="00704344">
              <w:rPr>
                <w:color w:val="161513"/>
                <w:sz w:val="16"/>
                <w:szCs w:val="16"/>
              </w:rPr>
              <w:t>Gigabyte storage capacity per month</w:t>
            </w:r>
          </w:p>
        </w:tc>
      </w:tr>
      <w:tr w:rsidR="00704344" w:rsidRPr="00704344" w14:paraId="4E1DD51F" w14:textId="77777777" w:rsidTr="00704344">
        <w:tc>
          <w:tcPr>
            <w:tcW w:w="2033" w:type="dxa"/>
            <w:tcMar>
              <w:top w:w="240" w:type="dxa"/>
              <w:left w:w="240" w:type="dxa"/>
              <w:bottom w:w="240" w:type="dxa"/>
              <w:right w:w="240" w:type="dxa"/>
            </w:tcMar>
            <w:vAlign w:val="center"/>
            <w:hideMark/>
          </w:tcPr>
          <w:p w14:paraId="2C936140" w14:textId="77777777" w:rsidR="00704344" w:rsidRPr="00704344" w:rsidRDefault="00704344">
            <w:pPr>
              <w:rPr>
                <w:b/>
                <w:bCs/>
                <w:color w:val="161513"/>
                <w:sz w:val="16"/>
                <w:szCs w:val="16"/>
              </w:rPr>
            </w:pPr>
            <w:r w:rsidRPr="00704344">
              <w:rPr>
                <w:b/>
                <w:bCs/>
                <w:color w:val="161513"/>
                <w:sz w:val="16"/>
                <w:szCs w:val="16"/>
              </w:rPr>
              <w:t>Archive Storage</w:t>
            </w:r>
          </w:p>
        </w:tc>
        <w:tc>
          <w:tcPr>
            <w:tcW w:w="1418" w:type="dxa"/>
            <w:tcMar>
              <w:top w:w="240" w:type="dxa"/>
              <w:left w:w="240" w:type="dxa"/>
              <w:bottom w:w="240" w:type="dxa"/>
              <w:right w:w="240" w:type="dxa"/>
            </w:tcMar>
            <w:vAlign w:val="center"/>
            <w:hideMark/>
          </w:tcPr>
          <w:p w14:paraId="2D06907E" w14:textId="77777777" w:rsidR="00704344" w:rsidRPr="00704344" w:rsidRDefault="00704344">
            <w:pPr>
              <w:rPr>
                <w:color w:val="161513"/>
                <w:sz w:val="16"/>
                <w:szCs w:val="16"/>
              </w:rPr>
            </w:pPr>
            <w:r w:rsidRPr="00704344">
              <w:rPr>
                <w:color w:val="161513"/>
                <w:sz w:val="16"/>
                <w:szCs w:val="16"/>
              </w:rPr>
              <w:t>$0.0026</w:t>
            </w:r>
          </w:p>
        </w:tc>
        <w:tc>
          <w:tcPr>
            <w:tcW w:w="4394" w:type="dxa"/>
            <w:tcMar>
              <w:top w:w="240" w:type="dxa"/>
              <w:left w:w="240" w:type="dxa"/>
              <w:bottom w:w="240" w:type="dxa"/>
              <w:right w:w="240" w:type="dxa"/>
            </w:tcMar>
            <w:vAlign w:val="center"/>
            <w:hideMark/>
          </w:tcPr>
          <w:p w14:paraId="6FE20D1C" w14:textId="77777777" w:rsidR="00704344" w:rsidRPr="00704344" w:rsidRDefault="00704344">
            <w:pPr>
              <w:rPr>
                <w:color w:val="161513"/>
                <w:sz w:val="16"/>
                <w:szCs w:val="16"/>
              </w:rPr>
            </w:pPr>
            <w:r w:rsidRPr="00704344">
              <w:rPr>
                <w:color w:val="161513"/>
                <w:sz w:val="16"/>
                <w:szCs w:val="16"/>
              </w:rPr>
              <w:t>Gigabyte storage capacity per month</w:t>
            </w:r>
          </w:p>
        </w:tc>
      </w:tr>
      <w:tr w:rsidR="00704344" w:rsidRPr="00704344" w14:paraId="6273DBE3" w14:textId="77777777" w:rsidTr="00704344">
        <w:tc>
          <w:tcPr>
            <w:tcW w:w="2033" w:type="dxa"/>
            <w:tcMar>
              <w:top w:w="240" w:type="dxa"/>
              <w:left w:w="240" w:type="dxa"/>
              <w:bottom w:w="240" w:type="dxa"/>
              <w:right w:w="240" w:type="dxa"/>
            </w:tcMar>
            <w:vAlign w:val="center"/>
            <w:hideMark/>
          </w:tcPr>
          <w:p w14:paraId="6985DA1B" w14:textId="77777777" w:rsidR="00704344" w:rsidRPr="00704344" w:rsidRDefault="00704344">
            <w:pPr>
              <w:rPr>
                <w:b/>
                <w:bCs/>
                <w:color w:val="161513"/>
                <w:sz w:val="16"/>
                <w:szCs w:val="16"/>
              </w:rPr>
            </w:pPr>
            <w:r w:rsidRPr="00704344">
              <w:rPr>
                <w:b/>
                <w:bCs/>
                <w:color w:val="161513"/>
                <w:sz w:val="16"/>
                <w:szCs w:val="16"/>
              </w:rPr>
              <w:lastRenderedPageBreak/>
              <w:t>Storage Gateway</w:t>
            </w:r>
          </w:p>
        </w:tc>
        <w:tc>
          <w:tcPr>
            <w:tcW w:w="1418" w:type="dxa"/>
            <w:tcMar>
              <w:top w:w="240" w:type="dxa"/>
              <w:left w:w="240" w:type="dxa"/>
              <w:bottom w:w="240" w:type="dxa"/>
              <w:right w:w="240" w:type="dxa"/>
            </w:tcMar>
            <w:vAlign w:val="center"/>
            <w:hideMark/>
          </w:tcPr>
          <w:p w14:paraId="4F0D2176" w14:textId="77777777" w:rsidR="00704344" w:rsidRPr="00704344" w:rsidRDefault="00704344">
            <w:pPr>
              <w:rPr>
                <w:color w:val="161513"/>
                <w:sz w:val="16"/>
                <w:szCs w:val="16"/>
              </w:rPr>
            </w:pPr>
            <w:r w:rsidRPr="00704344">
              <w:rPr>
                <w:color w:val="161513"/>
                <w:sz w:val="16"/>
                <w:szCs w:val="16"/>
              </w:rPr>
              <w:t>Free</w:t>
            </w:r>
          </w:p>
        </w:tc>
        <w:tc>
          <w:tcPr>
            <w:tcW w:w="4394" w:type="dxa"/>
            <w:tcMar>
              <w:top w:w="240" w:type="dxa"/>
              <w:left w:w="240" w:type="dxa"/>
              <w:bottom w:w="240" w:type="dxa"/>
              <w:right w:w="240" w:type="dxa"/>
            </w:tcMar>
            <w:vAlign w:val="center"/>
            <w:hideMark/>
          </w:tcPr>
          <w:p w14:paraId="45C99C09" w14:textId="77777777" w:rsidR="00704344" w:rsidRPr="00704344" w:rsidRDefault="00704344">
            <w:pPr>
              <w:rPr>
                <w:color w:val="161513"/>
                <w:sz w:val="16"/>
                <w:szCs w:val="16"/>
              </w:rPr>
            </w:pPr>
          </w:p>
        </w:tc>
      </w:tr>
      <w:tr w:rsidR="00704344" w:rsidRPr="00704344" w14:paraId="142D8BB2" w14:textId="77777777" w:rsidTr="00704344">
        <w:tc>
          <w:tcPr>
            <w:tcW w:w="2033" w:type="dxa"/>
            <w:tcMar>
              <w:top w:w="240" w:type="dxa"/>
              <w:left w:w="240" w:type="dxa"/>
              <w:bottom w:w="240" w:type="dxa"/>
              <w:right w:w="240" w:type="dxa"/>
            </w:tcMar>
            <w:vAlign w:val="center"/>
            <w:hideMark/>
          </w:tcPr>
          <w:p w14:paraId="11C76C68" w14:textId="77777777" w:rsidR="00704344" w:rsidRPr="00704344" w:rsidRDefault="00704344">
            <w:pPr>
              <w:rPr>
                <w:b/>
                <w:bCs/>
                <w:color w:val="161513"/>
                <w:sz w:val="16"/>
                <w:szCs w:val="16"/>
              </w:rPr>
            </w:pPr>
            <w:r w:rsidRPr="00704344">
              <w:rPr>
                <w:b/>
                <w:bCs/>
                <w:color w:val="161513"/>
                <w:sz w:val="16"/>
                <w:szCs w:val="16"/>
              </w:rPr>
              <w:t>Data Transfer Service (HDD)*</w:t>
            </w:r>
          </w:p>
        </w:tc>
        <w:tc>
          <w:tcPr>
            <w:tcW w:w="1418" w:type="dxa"/>
            <w:tcMar>
              <w:top w:w="240" w:type="dxa"/>
              <w:left w:w="240" w:type="dxa"/>
              <w:bottom w:w="240" w:type="dxa"/>
              <w:right w:w="240" w:type="dxa"/>
            </w:tcMar>
            <w:vAlign w:val="center"/>
            <w:hideMark/>
          </w:tcPr>
          <w:p w14:paraId="2A969C90" w14:textId="77777777" w:rsidR="00704344" w:rsidRPr="00704344" w:rsidRDefault="00704344">
            <w:pPr>
              <w:rPr>
                <w:color w:val="161513"/>
                <w:sz w:val="16"/>
                <w:szCs w:val="16"/>
              </w:rPr>
            </w:pPr>
            <w:r w:rsidRPr="00704344">
              <w:rPr>
                <w:color w:val="161513"/>
                <w:sz w:val="16"/>
                <w:szCs w:val="16"/>
              </w:rPr>
              <w:t>Free</w:t>
            </w:r>
          </w:p>
        </w:tc>
        <w:tc>
          <w:tcPr>
            <w:tcW w:w="4394" w:type="dxa"/>
            <w:tcMar>
              <w:top w:w="240" w:type="dxa"/>
              <w:left w:w="240" w:type="dxa"/>
              <w:bottom w:w="240" w:type="dxa"/>
              <w:right w:w="240" w:type="dxa"/>
            </w:tcMar>
            <w:vAlign w:val="center"/>
            <w:hideMark/>
          </w:tcPr>
          <w:p w14:paraId="6F00FE6D" w14:textId="77777777" w:rsidR="00704344" w:rsidRPr="00704344" w:rsidRDefault="00704344">
            <w:pPr>
              <w:rPr>
                <w:color w:val="161513"/>
                <w:sz w:val="16"/>
                <w:szCs w:val="16"/>
              </w:rPr>
            </w:pPr>
          </w:p>
        </w:tc>
      </w:tr>
      <w:tr w:rsidR="00704344" w:rsidRPr="00704344" w14:paraId="7A4B1BCC" w14:textId="77777777" w:rsidTr="00704344">
        <w:tc>
          <w:tcPr>
            <w:tcW w:w="2033" w:type="dxa"/>
            <w:tcMar>
              <w:top w:w="240" w:type="dxa"/>
              <w:left w:w="240" w:type="dxa"/>
              <w:bottom w:w="240" w:type="dxa"/>
              <w:right w:w="240" w:type="dxa"/>
            </w:tcMar>
            <w:vAlign w:val="center"/>
            <w:hideMark/>
          </w:tcPr>
          <w:p w14:paraId="3254D4F3" w14:textId="77777777" w:rsidR="00704344" w:rsidRPr="00704344" w:rsidRDefault="00704344">
            <w:pPr>
              <w:rPr>
                <w:b/>
                <w:bCs/>
                <w:color w:val="161513"/>
                <w:sz w:val="16"/>
                <w:szCs w:val="16"/>
              </w:rPr>
            </w:pPr>
            <w:r w:rsidRPr="00704344">
              <w:rPr>
                <w:b/>
                <w:bCs/>
                <w:color w:val="161513"/>
                <w:sz w:val="16"/>
                <w:szCs w:val="16"/>
              </w:rPr>
              <w:t>Data Transfer Service (Appliance)**</w:t>
            </w:r>
          </w:p>
        </w:tc>
        <w:tc>
          <w:tcPr>
            <w:tcW w:w="1418" w:type="dxa"/>
            <w:tcMar>
              <w:top w:w="240" w:type="dxa"/>
              <w:left w:w="240" w:type="dxa"/>
              <w:bottom w:w="240" w:type="dxa"/>
              <w:right w:w="240" w:type="dxa"/>
            </w:tcMar>
            <w:vAlign w:val="center"/>
            <w:hideMark/>
          </w:tcPr>
          <w:p w14:paraId="7B7A4B56" w14:textId="77777777" w:rsidR="00704344" w:rsidRPr="00704344" w:rsidRDefault="00704344">
            <w:pPr>
              <w:rPr>
                <w:color w:val="161513"/>
                <w:sz w:val="16"/>
                <w:szCs w:val="16"/>
              </w:rPr>
            </w:pPr>
            <w:r w:rsidRPr="00704344">
              <w:rPr>
                <w:color w:val="161513"/>
                <w:sz w:val="16"/>
                <w:szCs w:val="16"/>
              </w:rPr>
              <w:t>Free</w:t>
            </w:r>
          </w:p>
        </w:tc>
        <w:tc>
          <w:tcPr>
            <w:tcW w:w="4394" w:type="dxa"/>
            <w:tcMar>
              <w:top w:w="240" w:type="dxa"/>
              <w:left w:w="240" w:type="dxa"/>
              <w:bottom w:w="240" w:type="dxa"/>
              <w:right w:w="240" w:type="dxa"/>
            </w:tcMar>
            <w:vAlign w:val="center"/>
            <w:hideMark/>
          </w:tcPr>
          <w:p w14:paraId="1DA91303" w14:textId="77777777" w:rsidR="00704344" w:rsidRPr="00704344" w:rsidRDefault="00704344">
            <w:pPr>
              <w:rPr>
                <w:color w:val="161513"/>
                <w:sz w:val="16"/>
                <w:szCs w:val="16"/>
              </w:rPr>
            </w:pPr>
          </w:p>
        </w:tc>
      </w:tr>
    </w:tbl>
    <w:p w14:paraId="2E766CC7" w14:textId="77777777" w:rsidR="00704344" w:rsidRPr="00704344" w:rsidRDefault="00704344" w:rsidP="00704344">
      <w:pPr>
        <w:pStyle w:val="Normaalweb"/>
        <w:shd w:val="clear" w:color="auto" w:fill="FBF9F8"/>
        <w:spacing w:before="0" w:beforeAutospacing="0" w:after="264" w:afterAutospacing="0"/>
        <w:rPr>
          <w:rFonts w:ascii="Segoe UI" w:hAnsi="Segoe UI" w:cs="Segoe UI"/>
          <w:color w:val="000000"/>
          <w:sz w:val="16"/>
          <w:szCs w:val="16"/>
        </w:rPr>
      </w:pPr>
      <w:r w:rsidRPr="00704344">
        <w:rPr>
          <w:rFonts w:ascii="Segoe UI" w:hAnsi="Segoe UI" w:cs="Segoe UI"/>
          <w:color w:val="000000"/>
          <w:sz w:val="16"/>
          <w:szCs w:val="16"/>
        </w:rPr>
        <w:t>*Customer is responsible for purchasing hard disk drives and paying for shipping data to and from Oracle Data Transfer Site.</w:t>
      </w:r>
    </w:p>
    <w:p w14:paraId="1037D7F3" w14:textId="77777777" w:rsidR="00704344" w:rsidRPr="00704344" w:rsidRDefault="00704344" w:rsidP="00704344">
      <w:pPr>
        <w:pStyle w:val="Normaalweb"/>
        <w:shd w:val="clear" w:color="auto" w:fill="FBF9F8"/>
        <w:spacing w:before="0" w:beforeAutospacing="0" w:after="264" w:afterAutospacing="0"/>
        <w:rPr>
          <w:rFonts w:ascii="Segoe UI" w:hAnsi="Segoe UI" w:cs="Segoe UI"/>
          <w:color w:val="000000"/>
          <w:sz w:val="16"/>
          <w:szCs w:val="16"/>
        </w:rPr>
      </w:pPr>
      <w:r w:rsidRPr="00704344">
        <w:rPr>
          <w:rFonts w:ascii="Segoe UI" w:hAnsi="Segoe UI" w:cs="Segoe UI"/>
          <w:color w:val="000000"/>
          <w:sz w:val="16"/>
          <w:szCs w:val="16"/>
        </w:rPr>
        <w:t>** For data export, Outbound Data Transfer Networking charges apply.</w:t>
      </w:r>
    </w:p>
    <w:p w14:paraId="49644DF5" w14:textId="77777777" w:rsidR="00704344" w:rsidRPr="00704344" w:rsidRDefault="00704344" w:rsidP="00704344">
      <w:pPr>
        <w:pStyle w:val="Kop2"/>
        <w:shd w:val="clear" w:color="auto" w:fill="FBF9F8"/>
        <w:spacing w:before="0" w:beforeAutospacing="0" w:after="36" w:afterAutospacing="0"/>
        <w:rPr>
          <w:rFonts w:ascii="Segoe UI" w:hAnsi="Segoe UI" w:cs="Segoe UI"/>
          <w:color w:val="000000"/>
          <w:sz w:val="16"/>
          <w:szCs w:val="16"/>
        </w:rPr>
      </w:pPr>
      <w:r w:rsidRPr="00704344">
        <w:rPr>
          <w:rFonts w:ascii="Segoe UI" w:hAnsi="Segoe UI" w:cs="Segoe UI"/>
          <w:color w:val="000000"/>
          <w:sz w:val="16"/>
          <w:szCs w:val="16"/>
        </w:rPr>
        <w:t>Networking</w:t>
      </w:r>
    </w:p>
    <w:p w14:paraId="280F9130" w14:textId="77777777" w:rsidR="00704344" w:rsidRPr="00704344" w:rsidRDefault="00704344" w:rsidP="00704344">
      <w:pPr>
        <w:shd w:val="clear" w:color="auto" w:fill="FBF9F8"/>
        <w:rPr>
          <w:rFonts w:ascii="Segoe UI" w:hAnsi="Segoe UI" w:cs="Segoe UI"/>
          <w:color w:val="000000"/>
          <w:sz w:val="16"/>
          <w:szCs w:val="16"/>
        </w:rPr>
      </w:pPr>
      <w:hyperlink r:id="rId12" w:history="1">
        <w:r w:rsidRPr="00704344">
          <w:rPr>
            <w:rStyle w:val="Hyperlink"/>
            <w:rFonts w:ascii="inherit" w:hAnsi="inherit" w:cs="Segoe UI"/>
            <w:sz w:val="16"/>
            <w:szCs w:val="16"/>
            <w:bdr w:val="none" w:sz="0" w:space="0" w:color="auto" w:frame="1"/>
            <w:shd w:val="clear" w:color="auto" w:fill="6F915D"/>
          </w:rPr>
          <w:t>Cost Estimator</w:t>
        </w:r>
      </w:hyperlink>
    </w:p>
    <w:tbl>
      <w:tblPr>
        <w:tblW w:w="5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87"/>
        <w:gridCol w:w="4107"/>
      </w:tblGrid>
      <w:tr w:rsidR="00704344" w:rsidRPr="00704344" w14:paraId="426A60C4" w14:textId="77777777" w:rsidTr="00704344">
        <w:trPr>
          <w:tblHeader/>
        </w:trPr>
        <w:tc>
          <w:tcPr>
            <w:tcW w:w="1187" w:type="dxa"/>
            <w:tcMar>
              <w:top w:w="332" w:type="dxa"/>
              <w:left w:w="332" w:type="dxa"/>
              <w:bottom w:w="332" w:type="dxa"/>
              <w:right w:w="332" w:type="dxa"/>
            </w:tcMar>
            <w:vAlign w:val="center"/>
            <w:hideMark/>
          </w:tcPr>
          <w:p w14:paraId="7841A877" w14:textId="77777777" w:rsidR="00704344" w:rsidRPr="00704344" w:rsidRDefault="00704344">
            <w:pPr>
              <w:rPr>
                <w:rFonts w:ascii="Times New Roman" w:hAnsi="Times New Roman" w:cs="Times New Roman"/>
                <w:b/>
                <w:bCs/>
                <w:sz w:val="16"/>
                <w:szCs w:val="16"/>
              </w:rPr>
            </w:pPr>
            <w:r w:rsidRPr="00704344">
              <w:rPr>
                <w:b/>
                <w:bCs/>
                <w:sz w:val="16"/>
                <w:szCs w:val="16"/>
              </w:rPr>
              <w:t>Product</w:t>
            </w:r>
          </w:p>
        </w:tc>
        <w:tc>
          <w:tcPr>
            <w:tcW w:w="4107" w:type="dxa"/>
            <w:tcMar>
              <w:top w:w="332" w:type="dxa"/>
              <w:left w:w="332" w:type="dxa"/>
              <w:bottom w:w="332" w:type="dxa"/>
              <w:right w:w="332" w:type="dxa"/>
            </w:tcMar>
            <w:vAlign w:val="center"/>
            <w:hideMark/>
          </w:tcPr>
          <w:p w14:paraId="09E8C8C2" w14:textId="77777777" w:rsidR="00704344" w:rsidRPr="00704344" w:rsidRDefault="00704344">
            <w:pPr>
              <w:rPr>
                <w:b/>
                <w:bCs/>
                <w:sz w:val="16"/>
                <w:szCs w:val="16"/>
              </w:rPr>
            </w:pPr>
            <w:r w:rsidRPr="00704344">
              <w:rPr>
                <w:b/>
                <w:bCs/>
                <w:sz w:val="16"/>
                <w:szCs w:val="16"/>
              </w:rPr>
              <w:t>Unit Price (GB Outbound Data Transfer Per Month)</w:t>
            </w:r>
          </w:p>
        </w:tc>
        <w:bookmarkStart w:id="4" w:name="_GoBack"/>
        <w:bookmarkEnd w:id="4"/>
      </w:tr>
      <w:tr w:rsidR="00704344" w:rsidRPr="00704344" w14:paraId="13CCDDAF" w14:textId="77777777" w:rsidTr="00704344">
        <w:tc>
          <w:tcPr>
            <w:tcW w:w="1187" w:type="dxa"/>
            <w:tcMar>
              <w:top w:w="240" w:type="dxa"/>
              <w:left w:w="240" w:type="dxa"/>
              <w:bottom w:w="240" w:type="dxa"/>
              <w:right w:w="240" w:type="dxa"/>
            </w:tcMar>
            <w:vAlign w:val="center"/>
            <w:hideMark/>
          </w:tcPr>
          <w:p w14:paraId="060F1214" w14:textId="77777777" w:rsidR="00704344" w:rsidRPr="00704344" w:rsidRDefault="00704344">
            <w:pPr>
              <w:rPr>
                <w:b/>
                <w:bCs/>
                <w:color w:val="161513"/>
                <w:sz w:val="16"/>
                <w:szCs w:val="16"/>
              </w:rPr>
            </w:pPr>
            <w:r w:rsidRPr="00704344">
              <w:rPr>
                <w:b/>
                <w:bCs/>
                <w:color w:val="161513"/>
                <w:sz w:val="16"/>
                <w:szCs w:val="16"/>
              </w:rPr>
              <w:t>Outbound Data Transfer - First 10 TB / Month</w:t>
            </w:r>
          </w:p>
        </w:tc>
        <w:tc>
          <w:tcPr>
            <w:tcW w:w="4107" w:type="dxa"/>
            <w:tcMar>
              <w:top w:w="240" w:type="dxa"/>
              <w:left w:w="240" w:type="dxa"/>
              <w:bottom w:w="240" w:type="dxa"/>
              <w:right w:w="240" w:type="dxa"/>
            </w:tcMar>
            <w:vAlign w:val="center"/>
            <w:hideMark/>
          </w:tcPr>
          <w:p w14:paraId="0B3538B3" w14:textId="77777777" w:rsidR="00704344" w:rsidRPr="00704344" w:rsidRDefault="00704344">
            <w:pPr>
              <w:rPr>
                <w:color w:val="161513"/>
                <w:sz w:val="16"/>
                <w:szCs w:val="16"/>
              </w:rPr>
            </w:pPr>
            <w:r w:rsidRPr="00704344">
              <w:rPr>
                <w:color w:val="161513"/>
                <w:sz w:val="16"/>
                <w:szCs w:val="16"/>
              </w:rPr>
              <w:t>Free</w:t>
            </w:r>
          </w:p>
        </w:tc>
      </w:tr>
      <w:tr w:rsidR="00704344" w:rsidRPr="00704344" w14:paraId="130DE9E4" w14:textId="77777777" w:rsidTr="00704344">
        <w:tc>
          <w:tcPr>
            <w:tcW w:w="1187" w:type="dxa"/>
            <w:tcMar>
              <w:top w:w="240" w:type="dxa"/>
              <w:left w:w="240" w:type="dxa"/>
              <w:bottom w:w="240" w:type="dxa"/>
              <w:right w:w="240" w:type="dxa"/>
            </w:tcMar>
            <w:vAlign w:val="center"/>
            <w:hideMark/>
          </w:tcPr>
          <w:p w14:paraId="35612DF5" w14:textId="77777777" w:rsidR="00704344" w:rsidRPr="00704344" w:rsidRDefault="00704344">
            <w:pPr>
              <w:rPr>
                <w:b/>
                <w:bCs/>
                <w:color w:val="161513"/>
                <w:sz w:val="16"/>
                <w:szCs w:val="16"/>
              </w:rPr>
            </w:pPr>
            <w:r w:rsidRPr="00704344">
              <w:rPr>
                <w:b/>
                <w:bCs/>
                <w:color w:val="161513"/>
                <w:sz w:val="16"/>
                <w:szCs w:val="16"/>
              </w:rPr>
              <w:t>Inbound Data Transfer</w:t>
            </w:r>
          </w:p>
        </w:tc>
        <w:tc>
          <w:tcPr>
            <w:tcW w:w="4107" w:type="dxa"/>
            <w:tcMar>
              <w:top w:w="240" w:type="dxa"/>
              <w:left w:w="240" w:type="dxa"/>
              <w:bottom w:w="240" w:type="dxa"/>
              <w:right w:w="240" w:type="dxa"/>
            </w:tcMar>
            <w:vAlign w:val="center"/>
            <w:hideMark/>
          </w:tcPr>
          <w:p w14:paraId="6C2CF05C" w14:textId="77777777" w:rsidR="00704344" w:rsidRPr="00704344" w:rsidRDefault="00704344">
            <w:pPr>
              <w:rPr>
                <w:color w:val="161513"/>
                <w:sz w:val="16"/>
                <w:szCs w:val="16"/>
              </w:rPr>
            </w:pPr>
            <w:r w:rsidRPr="00704344">
              <w:rPr>
                <w:color w:val="161513"/>
                <w:sz w:val="16"/>
                <w:szCs w:val="16"/>
              </w:rPr>
              <w:t>Free</w:t>
            </w:r>
          </w:p>
        </w:tc>
      </w:tr>
    </w:tbl>
    <w:p w14:paraId="23CCB71F" w14:textId="77777777" w:rsidR="00B62D4A" w:rsidRPr="00704344" w:rsidRDefault="00B62D4A">
      <w:pPr>
        <w:rPr>
          <w:sz w:val="16"/>
          <w:szCs w:val="16"/>
        </w:rPr>
      </w:pPr>
    </w:p>
    <w:sectPr w:rsidR="00B62D4A" w:rsidRPr="00704344" w:rsidSect="00804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29E0"/>
    <w:multiLevelType w:val="multilevel"/>
    <w:tmpl w:val="43F0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27B43"/>
    <w:multiLevelType w:val="multilevel"/>
    <w:tmpl w:val="F82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23608"/>
    <w:multiLevelType w:val="multilevel"/>
    <w:tmpl w:val="057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903C3"/>
    <w:multiLevelType w:val="multilevel"/>
    <w:tmpl w:val="EDE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7FB9"/>
    <w:rsid w:val="00115B05"/>
    <w:rsid w:val="00704344"/>
    <w:rsid w:val="007C7FB9"/>
    <w:rsid w:val="0080485E"/>
    <w:rsid w:val="00841364"/>
    <w:rsid w:val="00B6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D1F9"/>
  <w15:chartTrackingRefBased/>
  <w15:docId w15:val="{6425EE4C-CD85-4BCF-B751-40380F38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B62D4A"/>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Kop3">
    <w:name w:val="heading 3"/>
    <w:basedOn w:val="Standaard"/>
    <w:next w:val="Standaard"/>
    <w:link w:val="Kop3Char"/>
    <w:uiPriority w:val="9"/>
    <w:semiHidden/>
    <w:unhideWhenUsed/>
    <w:qFormat/>
    <w:rsid w:val="008413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62D4A"/>
    <w:rPr>
      <w:rFonts w:ascii="Times New Roman" w:eastAsia="Times New Roman" w:hAnsi="Times New Roman" w:cs="Times New Roman"/>
      <w:b/>
      <w:bCs/>
      <w:sz w:val="36"/>
      <w:szCs w:val="36"/>
      <w:lang w:val="en-NL" w:eastAsia="en-NL"/>
    </w:rPr>
  </w:style>
  <w:style w:type="character" w:styleId="Hyperlink">
    <w:name w:val="Hyperlink"/>
    <w:basedOn w:val="Standaardalinea-lettertype"/>
    <w:uiPriority w:val="99"/>
    <w:semiHidden/>
    <w:unhideWhenUsed/>
    <w:rsid w:val="00B62D4A"/>
    <w:rPr>
      <w:color w:val="0000FF"/>
      <w:u w:val="single"/>
    </w:rPr>
  </w:style>
  <w:style w:type="paragraph" w:styleId="Normaalweb">
    <w:name w:val="Normal (Web)"/>
    <w:basedOn w:val="Standaard"/>
    <w:uiPriority w:val="99"/>
    <w:semiHidden/>
    <w:unhideWhenUsed/>
    <w:rsid w:val="00B62D4A"/>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Kop3Char">
    <w:name w:val="Kop 3 Char"/>
    <w:basedOn w:val="Standaardalinea-lettertype"/>
    <w:link w:val="Kop3"/>
    <w:uiPriority w:val="9"/>
    <w:semiHidden/>
    <w:rsid w:val="00841364"/>
    <w:rPr>
      <w:rFonts w:asciiTheme="majorHAnsi" w:eastAsiaTheme="majorEastAsia" w:hAnsiTheme="majorHAnsi" w:cstheme="majorBidi"/>
      <w:color w:val="243F60" w:themeColor="accent1" w:themeShade="7F"/>
      <w:sz w:val="24"/>
      <w:szCs w:val="24"/>
    </w:rPr>
  </w:style>
  <w:style w:type="character" w:customStyle="1" w:styleId="enumerationsection">
    <w:name w:val="enumeration_section"/>
    <w:basedOn w:val="Standaardalinea-lettertype"/>
    <w:rsid w:val="00841364"/>
  </w:style>
  <w:style w:type="character" w:styleId="HTMLCode">
    <w:name w:val="HTML Code"/>
    <w:basedOn w:val="Standaardalinea-lettertype"/>
    <w:uiPriority w:val="99"/>
    <w:semiHidden/>
    <w:unhideWhenUsed/>
    <w:rsid w:val="00841364"/>
    <w:rPr>
      <w:rFonts w:ascii="Courier New" w:eastAsia="Times New Roman" w:hAnsi="Courier New" w:cs="Courier New"/>
      <w:sz w:val="20"/>
      <w:szCs w:val="20"/>
    </w:rPr>
  </w:style>
  <w:style w:type="paragraph" w:customStyle="1" w:styleId="subhead2">
    <w:name w:val="subhead2"/>
    <w:basedOn w:val="Standaard"/>
    <w:rsid w:val="00841364"/>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titleintable">
    <w:name w:val="titleintable"/>
    <w:basedOn w:val="Standaard"/>
    <w:rsid w:val="00841364"/>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64728">
      <w:bodyDiv w:val="1"/>
      <w:marLeft w:val="0"/>
      <w:marRight w:val="0"/>
      <w:marTop w:val="0"/>
      <w:marBottom w:val="0"/>
      <w:divBdr>
        <w:top w:val="none" w:sz="0" w:space="0" w:color="auto"/>
        <w:left w:val="none" w:sz="0" w:space="0" w:color="auto"/>
        <w:bottom w:val="none" w:sz="0" w:space="0" w:color="auto"/>
        <w:right w:val="none" w:sz="0" w:space="0" w:color="auto"/>
      </w:divBdr>
      <w:divsChild>
        <w:div w:id="232551335">
          <w:marLeft w:val="0"/>
          <w:marRight w:val="0"/>
          <w:marTop w:val="720"/>
          <w:marBottom w:val="192"/>
          <w:divBdr>
            <w:top w:val="none" w:sz="0" w:space="0" w:color="auto"/>
            <w:left w:val="none" w:sz="0" w:space="0" w:color="auto"/>
            <w:bottom w:val="none" w:sz="0" w:space="0" w:color="auto"/>
            <w:right w:val="none" w:sz="0" w:space="0" w:color="auto"/>
          </w:divBdr>
          <w:divsChild>
            <w:div w:id="716928322">
              <w:marLeft w:val="0"/>
              <w:marRight w:val="0"/>
              <w:marTop w:val="0"/>
              <w:marBottom w:val="0"/>
              <w:divBdr>
                <w:top w:val="none" w:sz="0" w:space="0" w:color="auto"/>
                <w:left w:val="none" w:sz="0" w:space="0" w:color="auto"/>
                <w:bottom w:val="none" w:sz="0" w:space="0" w:color="auto"/>
                <w:right w:val="none" w:sz="0" w:space="0" w:color="auto"/>
              </w:divBdr>
              <w:divsChild>
                <w:div w:id="17393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03">
          <w:marLeft w:val="0"/>
          <w:marRight w:val="0"/>
          <w:marTop w:val="0"/>
          <w:marBottom w:val="0"/>
          <w:divBdr>
            <w:top w:val="none" w:sz="0" w:space="0" w:color="auto"/>
            <w:left w:val="none" w:sz="0" w:space="0" w:color="auto"/>
            <w:bottom w:val="none" w:sz="0" w:space="0" w:color="auto"/>
            <w:right w:val="none" w:sz="0" w:space="0" w:color="auto"/>
          </w:divBdr>
          <w:divsChild>
            <w:div w:id="1014573883">
              <w:marLeft w:val="0"/>
              <w:marRight w:val="0"/>
              <w:marTop w:val="0"/>
              <w:marBottom w:val="0"/>
              <w:divBdr>
                <w:top w:val="none" w:sz="0" w:space="0" w:color="auto"/>
                <w:left w:val="none" w:sz="0" w:space="0" w:color="auto"/>
                <w:bottom w:val="none" w:sz="0" w:space="0" w:color="auto"/>
                <w:right w:val="none" w:sz="0" w:space="0" w:color="auto"/>
              </w:divBdr>
              <w:divsChild>
                <w:div w:id="15807491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21007516">
          <w:marLeft w:val="0"/>
          <w:marRight w:val="0"/>
          <w:marTop w:val="240"/>
          <w:marBottom w:val="0"/>
          <w:divBdr>
            <w:top w:val="none" w:sz="0" w:space="0" w:color="auto"/>
            <w:left w:val="none" w:sz="0" w:space="0" w:color="auto"/>
            <w:bottom w:val="none" w:sz="0" w:space="0" w:color="auto"/>
            <w:right w:val="none" w:sz="0" w:space="0" w:color="auto"/>
          </w:divBdr>
        </w:div>
        <w:div w:id="382681882">
          <w:marLeft w:val="0"/>
          <w:marRight w:val="0"/>
          <w:marTop w:val="720"/>
          <w:marBottom w:val="192"/>
          <w:divBdr>
            <w:top w:val="none" w:sz="0" w:space="0" w:color="auto"/>
            <w:left w:val="none" w:sz="0" w:space="0" w:color="auto"/>
            <w:bottom w:val="none" w:sz="0" w:space="0" w:color="auto"/>
            <w:right w:val="none" w:sz="0" w:space="0" w:color="auto"/>
          </w:divBdr>
        </w:div>
        <w:div w:id="1053967059">
          <w:marLeft w:val="0"/>
          <w:marRight w:val="0"/>
          <w:marTop w:val="0"/>
          <w:marBottom w:val="0"/>
          <w:divBdr>
            <w:top w:val="none" w:sz="0" w:space="0" w:color="auto"/>
            <w:left w:val="none" w:sz="0" w:space="0" w:color="auto"/>
            <w:bottom w:val="none" w:sz="0" w:space="0" w:color="auto"/>
            <w:right w:val="none" w:sz="0" w:space="0" w:color="auto"/>
          </w:divBdr>
          <w:divsChild>
            <w:div w:id="1031106900">
              <w:marLeft w:val="0"/>
              <w:marRight w:val="0"/>
              <w:marTop w:val="0"/>
              <w:marBottom w:val="0"/>
              <w:divBdr>
                <w:top w:val="none" w:sz="0" w:space="0" w:color="auto"/>
                <w:left w:val="none" w:sz="0" w:space="0" w:color="auto"/>
                <w:bottom w:val="none" w:sz="0" w:space="0" w:color="auto"/>
                <w:right w:val="none" w:sz="0" w:space="0" w:color="auto"/>
              </w:divBdr>
              <w:divsChild>
                <w:div w:id="164751544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84774052">
          <w:marLeft w:val="0"/>
          <w:marRight w:val="0"/>
          <w:marTop w:val="240"/>
          <w:marBottom w:val="0"/>
          <w:divBdr>
            <w:top w:val="none" w:sz="0" w:space="0" w:color="auto"/>
            <w:left w:val="none" w:sz="0" w:space="0" w:color="auto"/>
            <w:bottom w:val="none" w:sz="0" w:space="0" w:color="auto"/>
            <w:right w:val="none" w:sz="0" w:space="0" w:color="auto"/>
          </w:divBdr>
        </w:div>
        <w:div w:id="766774393">
          <w:marLeft w:val="0"/>
          <w:marRight w:val="0"/>
          <w:marTop w:val="720"/>
          <w:marBottom w:val="192"/>
          <w:divBdr>
            <w:top w:val="none" w:sz="0" w:space="0" w:color="auto"/>
            <w:left w:val="none" w:sz="0" w:space="0" w:color="auto"/>
            <w:bottom w:val="none" w:sz="0" w:space="0" w:color="auto"/>
            <w:right w:val="none" w:sz="0" w:space="0" w:color="auto"/>
          </w:divBdr>
        </w:div>
        <w:div w:id="986083694">
          <w:marLeft w:val="0"/>
          <w:marRight w:val="0"/>
          <w:marTop w:val="0"/>
          <w:marBottom w:val="0"/>
          <w:divBdr>
            <w:top w:val="none" w:sz="0" w:space="0" w:color="auto"/>
            <w:left w:val="none" w:sz="0" w:space="0" w:color="auto"/>
            <w:bottom w:val="none" w:sz="0" w:space="0" w:color="auto"/>
            <w:right w:val="none" w:sz="0" w:space="0" w:color="auto"/>
          </w:divBdr>
          <w:divsChild>
            <w:div w:id="1834297468">
              <w:marLeft w:val="0"/>
              <w:marRight w:val="0"/>
              <w:marTop w:val="0"/>
              <w:marBottom w:val="0"/>
              <w:divBdr>
                <w:top w:val="none" w:sz="0" w:space="0" w:color="auto"/>
                <w:left w:val="none" w:sz="0" w:space="0" w:color="auto"/>
                <w:bottom w:val="none" w:sz="0" w:space="0" w:color="auto"/>
                <w:right w:val="none" w:sz="0" w:space="0" w:color="auto"/>
              </w:divBdr>
              <w:divsChild>
                <w:div w:id="59907032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75868372">
          <w:marLeft w:val="0"/>
          <w:marRight w:val="0"/>
          <w:marTop w:val="720"/>
          <w:marBottom w:val="192"/>
          <w:divBdr>
            <w:top w:val="none" w:sz="0" w:space="0" w:color="auto"/>
            <w:left w:val="none" w:sz="0" w:space="0" w:color="auto"/>
            <w:bottom w:val="none" w:sz="0" w:space="0" w:color="auto"/>
            <w:right w:val="none" w:sz="0" w:space="0" w:color="auto"/>
          </w:divBdr>
        </w:div>
        <w:div w:id="824589536">
          <w:marLeft w:val="0"/>
          <w:marRight w:val="0"/>
          <w:marTop w:val="0"/>
          <w:marBottom w:val="0"/>
          <w:divBdr>
            <w:top w:val="none" w:sz="0" w:space="0" w:color="auto"/>
            <w:left w:val="none" w:sz="0" w:space="0" w:color="auto"/>
            <w:bottom w:val="none" w:sz="0" w:space="0" w:color="auto"/>
            <w:right w:val="none" w:sz="0" w:space="0" w:color="auto"/>
          </w:divBdr>
          <w:divsChild>
            <w:div w:id="338314529">
              <w:marLeft w:val="0"/>
              <w:marRight w:val="0"/>
              <w:marTop w:val="0"/>
              <w:marBottom w:val="0"/>
              <w:divBdr>
                <w:top w:val="none" w:sz="0" w:space="0" w:color="auto"/>
                <w:left w:val="none" w:sz="0" w:space="0" w:color="auto"/>
                <w:bottom w:val="none" w:sz="0" w:space="0" w:color="auto"/>
                <w:right w:val="none" w:sz="0" w:space="0" w:color="auto"/>
              </w:divBdr>
              <w:divsChild>
                <w:div w:id="13051592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94014734">
          <w:marLeft w:val="0"/>
          <w:marRight w:val="0"/>
          <w:marTop w:val="720"/>
          <w:marBottom w:val="192"/>
          <w:divBdr>
            <w:top w:val="none" w:sz="0" w:space="0" w:color="auto"/>
            <w:left w:val="none" w:sz="0" w:space="0" w:color="auto"/>
            <w:bottom w:val="none" w:sz="0" w:space="0" w:color="auto"/>
            <w:right w:val="none" w:sz="0" w:space="0" w:color="auto"/>
          </w:divBdr>
        </w:div>
        <w:div w:id="1719472428">
          <w:marLeft w:val="0"/>
          <w:marRight w:val="0"/>
          <w:marTop w:val="0"/>
          <w:marBottom w:val="0"/>
          <w:divBdr>
            <w:top w:val="none" w:sz="0" w:space="0" w:color="auto"/>
            <w:left w:val="none" w:sz="0" w:space="0" w:color="auto"/>
            <w:bottom w:val="none" w:sz="0" w:space="0" w:color="auto"/>
            <w:right w:val="none" w:sz="0" w:space="0" w:color="auto"/>
          </w:divBdr>
          <w:divsChild>
            <w:div w:id="1682312686">
              <w:marLeft w:val="0"/>
              <w:marRight w:val="0"/>
              <w:marTop w:val="0"/>
              <w:marBottom w:val="0"/>
              <w:divBdr>
                <w:top w:val="none" w:sz="0" w:space="0" w:color="auto"/>
                <w:left w:val="none" w:sz="0" w:space="0" w:color="auto"/>
                <w:bottom w:val="none" w:sz="0" w:space="0" w:color="auto"/>
                <w:right w:val="none" w:sz="0" w:space="0" w:color="auto"/>
              </w:divBdr>
              <w:divsChild>
                <w:div w:id="19437980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52143242">
          <w:marLeft w:val="0"/>
          <w:marRight w:val="0"/>
          <w:marTop w:val="240"/>
          <w:marBottom w:val="0"/>
          <w:divBdr>
            <w:top w:val="none" w:sz="0" w:space="0" w:color="auto"/>
            <w:left w:val="none" w:sz="0" w:space="0" w:color="auto"/>
            <w:bottom w:val="none" w:sz="0" w:space="0" w:color="auto"/>
            <w:right w:val="none" w:sz="0" w:space="0" w:color="auto"/>
          </w:divBdr>
        </w:div>
        <w:div w:id="1944454320">
          <w:marLeft w:val="0"/>
          <w:marRight w:val="0"/>
          <w:marTop w:val="720"/>
          <w:marBottom w:val="192"/>
          <w:divBdr>
            <w:top w:val="none" w:sz="0" w:space="0" w:color="auto"/>
            <w:left w:val="none" w:sz="0" w:space="0" w:color="auto"/>
            <w:bottom w:val="none" w:sz="0" w:space="0" w:color="auto"/>
            <w:right w:val="none" w:sz="0" w:space="0" w:color="auto"/>
          </w:divBdr>
        </w:div>
        <w:div w:id="829443369">
          <w:marLeft w:val="0"/>
          <w:marRight w:val="0"/>
          <w:marTop w:val="0"/>
          <w:marBottom w:val="0"/>
          <w:divBdr>
            <w:top w:val="none" w:sz="0" w:space="0" w:color="auto"/>
            <w:left w:val="none" w:sz="0" w:space="0" w:color="auto"/>
            <w:bottom w:val="none" w:sz="0" w:space="0" w:color="auto"/>
            <w:right w:val="none" w:sz="0" w:space="0" w:color="auto"/>
          </w:divBdr>
          <w:divsChild>
            <w:div w:id="2101365530">
              <w:marLeft w:val="0"/>
              <w:marRight w:val="0"/>
              <w:marTop w:val="0"/>
              <w:marBottom w:val="0"/>
              <w:divBdr>
                <w:top w:val="none" w:sz="0" w:space="0" w:color="auto"/>
                <w:left w:val="none" w:sz="0" w:space="0" w:color="auto"/>
                <w:bottom w:val="none" w:sz="0" w:space="0" w:color="auto"/>
                <w:right w:val="none" w:sz="0" w:space="0" w:color="auto"/>
              </w:divBdr>
              <w:divsChild>
                <w:div w:id="9271558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78475498">
          <w:marLeft w:val="0"/>
          <w:marRight w:val="0"/>
          <w:marTop w:val="240"/>
          <w:marBottom w:val="0"/>
          <w:divBdr>
            <w:top w:val="none" w:sz="0" w:space="0" w:color="auto"/>
            <w:left w:val="none" w:sz="0" w:space="0" w:color="auto"/>
            <w:bottom w:val="none" w:sz="0" w:space="0" w:color="auto"/>
            <w:right w:val="none" w:sz="0" w:space="0" w:color="auto"/>
          </w:divBdr>
        </w:div>
      </w:divsChild>
    </w:div>
    <w:div w:id="1293907033">
      <w:bodyDiv w:val="1"/>
      <w:marLeft w:val="0"/>
      <w:marRight w:val="0"/>
      <w:marTop w:val="0"/>
      <w:marBottom w:val="0"/>
      <w:divBdr>
        <w:top w:val="none" w:sz="0" w:space="0" w:color="auto"/>
        <w:left w:val="none" w:sz="0" w:space="0" w:color="auto"/>
        <w:bottom w:val="none" w:sz="0" w:space="0" w:color="auto"/>
        <w:right w:val="none" w:sz="0" w:space="0" w:color="auto"/>
      </w:divBdr>
      <w:divsChild>
        <w:div w:id="99763299">
          <w:marLeft w:val="0"/>
          <w:marRight w:val="0"/>
          <w:marTop w:val="0"/>
          <w:marBottom w:val="0"/>
          <w:divBdr>
            <w:top w:val="none" w:sz="0" w:space="0" w:color="auto"/>
            <w:left w:val="none" w:sz="0" w:space="0" w:color="auto"/>
            <w:bottom w:val="none" w:sz="0" w:space="0" w:color="auto"/>
            <w:right w:val="none" w:sz="0" w:space="0" w:color="auto"/>
          </w:divBdr>
        </w:div>
        <w:div w:id="884291173">
          <w:marLeft w:val="0"/>
          <w:marRight w:val="0"/>
          <w:marTop w:val="0"/>
          <w:marBottom w:val="0"/>
          <w:divBdr>
            <w:top w:val="none" w:sz="0" w:space="0" w:color="auto"/>
            <w:left w:val="none" w:sz="0" w:space="0" w:color="auto"/>
            <w:bottom w:val="none" w:sz="0" w:space="0" w:color="auto"/>
            <w:right w:val="none" w:sz="0" w:space="0" w:color="auto"/>
          </w:divBdr>
          <w:divsChild>
            <w:div w:id="192890972">
              <w:marLeft w:val="0"/>
              <w:marRight w:val="0"/>
              <w:marTop w:val="210"/>
              <w:marBottom w:val="210"/>
              <w:divBdr>
                <w:top w:val="none" w:sz="0" w:space="0" w:color="auto"/>
                <w:left w:val="none" w:sz="0" w:space="0" w:color="auto"/>
                <w:bottom w:val="none" w:sz="0" w:space="0" w:color="auto"/>
                <w:right w:val="none" w:sz="0" w:space="0" w:color="auto"/>
              </w:divBdr>
              <w:divsChild>
                <w:div w:id="294799525">
                  <w:marLeft w:val="0"/>
                  <w:marRight w:val="0"/>
                  <w:marTop w:val="0"/>
                  <w:marBottom w:val="0"/>
                  <w:divBdr>
                    <w:top w:val="none" w:sz="0" w:space="0" w:color="auto"/>
                    <w:left w:val="none" w:sz="0" w:space="0" w:color="auto"/>
                    <w:bottom w:val="none" w:sz="0" w:space="0" w:color="auto"/>
                    <w:right w:val="none" w:sz="0" w:space="0" w:color="auto"/>
                  </w:divBdr>
                  <w:divsChild>
                    <w:div w:id="205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4618">
              <w:marLeft w:val="0"/>
              <w:marRight w:val="0"/>
              <w:marTop w:val="210"/>
              <w:marBottom w:val="210"/>
              <w:divBdr>
                <w:top w:val="none" w:sz="0" w:space="0" w:color="auto"/>
                <w:left w:val="none" w:sz="0" w:space="0" w:color="auto"/>
                <w:bottom w:val="none" w:sz="0" w:space="0" w:color="auto"/>
                <w:right w:val="none" w:sz="0" w:space="0" w:color="auto"/>
              </w:divBdr>
              <w:divsChild>
                <w:div w:id="1868060525">
                  <w:marLeft w:val="0"/>
                  <w:marRight w:val="0"/>
                  <w:marTop w:val="0"/>
                  <w:marBottom w:val="0"/>
                  <w:divBdr>
                    <w:top w:val="none" w:sz="0" w:space="0" w:color="auto"/>
                    <w:left w:val="none" w:sz="0" w:space="0" w:color="auto"/>
                    <w:bottom w:val="none" w:sz="0" w:space="0" w:color="auto"/>
                    <w:right w:val="none" w:sz="0" w:space="0" w:color="auto"/>
                  </w:divBdr>
                  <w:divsChild>
                    <w:div w:id="20047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3844">
          <w:marLeft w:val="0"/>
          <w:marRight w:val="0"/>
          <w:marTop w:val="0"/>
          <w:marBottom w:val="0"/>
          <w:divBdr>
            <w:top w:val="none" w:sz="0" w:space="0" w:color="auto"/>
            <w:left w:val="none" w:sz="0" w:space="0" w:color="auto"/>
            <w:bottom w:val="none" w:sz="0" w:space="0" w:color="auto"/>
            <w:right w:val="none" w:sz="0" w:space="0" w:color="auto"/>
          </w:divBdr>
          <w:divsChild>
            <w:div w:id="604002148">
              <w:marLeft w:val="0"/>
              <w:marRight w:val="0"/>
              <w:marTop w:val="0"/>
              <w:marBottom w:val="0"/>
              <w:divBdr>
                <w:top w:val="none" w:sz="0" w:space="0" w:color="auto"/>
                <w:left w:val="none" w:sz="0" w:space="0" w:color="auto"/>
                <w:bottom w:val="none" w:sz="0" w:space="0" w:color="auto"/>
                <w:right w:val="none" w:sz="0" w:space="0" w:color="auto"/>
              </w:divBdr>
              <w:divsChild>
                <w:div w:id="18891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22935">
      <w:bodyDiv w:val="1"/>
      <w:marLeft w:val="0"/>
      <w:marRight w:val="0"/>
      <w:marTop w:val="0"/>
      <w:marBottom w:val="0"/>
      <w:divBdr>
        <w:top w:val="none" w:sz="0" w:space="0" w:color="auto"/>
        <w:left w:val="none" w:sz="0" w:space="0" w:color="auto"/>
        <w:bottom w:val="none" w:sz="0" w:space="0" w:color="auto"/>
        <w:right w:val="none" w:sz="0" w:space="0" w:color="auto"/>
      </w:divBdr>
      <w:divsChild>
        <w:div w:id="1403983511">
          <w:marLeft w:val="0"/>
          <w:marRight w:val="0"/>
          <w:marTop w:val="720"/>
          <w:marBottom w:val="192"/>
          <w:divBdr>
            <w:top w:val="none" w:sz="0" w:space="0" w:color="auto"/>
            <w:left w:val="none" w:sz="0" w:space="0" w:color="auto"/>
            <w:bottom w:val="none" w:sz="0" w:space="0" w:color="auto"/>
            <w:right w:val="none" w:sz="0" w:space="0" w:color="auto"/>
          </w:divBdr>
          <w:divsChild>
            <w:div w:id="454059247">
              <w:marLeft w:val="0"/>
              <w:marRight w:val="0"/>
              <w:marTop w:val="0"/>
              <w:marBottom w:val="0"/>
              <w:divBdr>
                <w:top w:val="none" w:sz="0" w:space="0" w:color="auto"/>
                <w:left w:val="none" w:sz="0" w:space="0" w:color="auto"/>
                <w:bottom w:val="none" w:sz="0" w:space="0" w:color="auto"/>
                <w:right w:val="none" w:sz="0" w:space="0" w:color="auto"/>
              </w:divBdr>
              <w:divsChild>
                <w:div w:id="8559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4361">
          <w:marLeft w:val="0"/>
          <w:marRight w:val="0"/>
          <w:marTop w:val="0"/>
          <w:marBottom w:val="0"/>
          <w:divBdr>
            <w:top w:val="none" w:sz="0" w:space="0" w:color="auto"/>
            <w:left w:val="none" w:sz="0" w:space="0" w:color="auto"/>
            <w:bottom w:val="none" w:sz="0" w:space="0" w:color="auto"/>
            <w:right w:val="none" w:sz="0" w:space="0" w:color="auto"/>
          </w:divBdr>
          <w:divsChild>
            <w:div w:id="1661620003">
              <w:marLeft w:val="0"/>
              <w:marRight w:val="0"/>
              <w:marTop w:val="0"/>
              <w:marBottom w:val="0"/>
              <w:divBdr>
                <w:top w:val="none" w:sz="0" w:space="0" w:color="auto"/>
                <w:left w:val="none" w:sz="0" w:space="0" w:color="auto"/>
                <w:bottom w:val="none" w:sz="0" w:space="0" w:color="auto"/>
                <w:right w:val="none" w:sz="0" w:space="0" w:color="auto"/>
              </w:divBdr>
              <w:divsChild>
                <w:div w:id="18650549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99478185">
          <w:marLeft w:val="0"/>
          <w:marRight w:val="0"/>
          <w:marTop w:val="240"/>
          <w:marBottom w:val="0"/>
          <w:divBdr>
            <w:top w:val="none" w:sz="0" w:space="0" w:color="auto"/>
            <w:left w:val="none" w:sz="0" w:space="0" w:color="auto"/>
            <w:bottom w:val="none" w:sz="0" w:space="0" w:color="auto"/>
            <w:right w:val="none" w:sz="0" w:space="0" w:color="auto"/>
          </w:divBdr>
        </w:div>
        <w:div w:id="979915890">
          <w:marLeft w:val="0"/>
          <w:marRight w:val="0"/>
          <w:marTop w:val="720"/>
          <w:marBottom w:val="192"/>
          <w:divBdr>
            <w:top w:val="none" w:sz="0" w:space="0" w:color="auto"/>
            <w:left w:val="none" w:sz="0" w:space="0" w:color="auto"/>
            <w:bottom w:val="none" w:sz="0" w:space="0" w:color="auto"/>
            <w:right w:val="none" w:sz="0" w:space="0" w:color="auto"/>
          </w:divBdr>
          <w:divsChild>
            <w:div w:id="1407994676">
              <w:marLeft w:val="0"/>
              <w:marRight w:val="0"/>
              <w:marTop w:val="0"/>
              <w:marBottom w:val="0"/>
              <w:divBdr>
                <w:top w:val="none" w:sz="0" w:space="0" w:color="auto"/>
                <w:left w:val="none" w:sz="0" w:space="0" w:color="auto"/>
                <w:bottom w:val="none" w:sz="0" w:space="0" w:color="auto"/>
                <w:right w:val="none" w:sz="0" w:space="0" w:color="auto"/>
              </w:divBdr>
              <w:divsChild>
                <w:div w:id="13533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3178">
          <w:marLeft w:val="0"/>
          <w:marRight w:val="0"/>
          <w:marTop w:val="0"/>
          <w:marBottom w:val="0"/>
          <w:divBdr>
            <w:top w:val="none" w:sz="0" w:space="0" w:color="auto"/>
            <w:left w:val="none" w:sz="0" w:space="0" w:color="auto"/>
            <w:bottom w:val="none" w:sz="0" w:space="0" w:color="auto"/>
            <w:right w:val="none" w:sz="0" w:space="0" w:color="auto"/>
          </w:divBdr>
          <w:divsChild>
            <w:div w:id="1730641841">
              <w:marLeft w:val="0"/>
              <w:marRight w:val="0"/>
              <w:marTop w:val="0"/>
              <w:marBottom w:val="0"/>
              <w:divBdr>
                <w:top w:val="none" w:sz="0" w:space="0" w:color="auto"/>
                <w:left w:val="none" w:sz="0" w:space="0" w:color="auto"/>
                <w:bottom w:val="none" w:sz="0" w:space="0" w:color="auto"/>
                <w:right w:val="none" w:sz="0" w:space="0" w:color="auto"/>
              </w:divBdr>
              <w:divsChild>
                <w:div w:id="156375735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cloud/cost-estimato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cloud/storage/pricing.html" TargetMode="External"/><Relationship Id="rId12" Type="http://schemas.openxmlformats.org/officeDocument/2006/relationships/hyperlink" Target="https://www.oracle.com/cloud/cost-estim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cloud/compute/pricing.html" TargetMode="External"/><Relationship Id="rId11" Type="http://schemas.openxmlformats.org/officeDocument/2006/relationships/hyperlink" Target="https://www.oracle.com/cloud/cost-estimator.html" TargetMode="External"/><Relationship Id="rId5" Type="http://schemas.openxmlformats.org/officeDocument/2006/relationships/hyperlink" Target="https://www.oracle.com/technetwork/middleware/ias/downloads/fusion-certification-100350.html" TargetMode="External"/><Relationship Id="rId10" Type="http://schemas.openxmlformats.org/officeDocument/2006/relationships/hyperlink" Target="https://www.oracle.com/cloud/compute/faq.html" TargetMode="External"/><Relationship Id="rId4" Type="http://schemas.openxmlformats.org/officeDocument/2006/relationships/webSettings" Target="webSettings.xml"/><Relationship Id="rId9" Type="http://schemas.openxmlformats.org/officeDocument/2006/relationships/hyperlink" Target="https://www.oracle.com/cloud/compute/faq.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5</cp:revision>
  <dcterms:created xsi:type="dcterms:W3CDTF">2021-01-18T08:29:00Z</dcterms:created>
  <dcterms:modified xsi:type="dcterms:W3CDTF">2021-01-18T09:07:00Z</dcterms:modified>
</cp:coreProperties>
</file>