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AE2" w:rsidRDefault="00820AE2" w:rsidP="00820AE2">
      <w:pPr>
        <w:rPr>
          <w:lang w:val="nl-NL"/>
        </w:rPr>
      </w:pPr>
      <w:r>
        <w:rPr>
          <w:lang w:val="nl-NL"/>
        </w:rPr>
        <w:t>DOCUMENTATIE</w:t>
      </w:r>
    </w:p>
    <w:p w:rsidR="002B3606" w:rsidRDefault="002B3606" w:rsidP="00820AE2">
      <w:pPr>
        <w:rPr>
          <w:lang w:val="nl-NL"/>
        </w:rPr>
      </w:pPr>
      <w:hyperlink r:id="rId4" w:history="1">
        <w:r w:rsidRPr="00B90F3B">
          <w:rPr>
            <w:rStyle w:val="Hyperlink"/>
            <w:lang w:val="nl-NL"/>
          </w:rPr>
          <w:t>https://docs.oracle.com/en/middleware/goldengate/core/19.1/index.html</w:t>
        </w:r>
      </w:hyperlink>
    </w:p>
    <w:p w:rsidR="002B3606" w:rsidRDefault="002B3606" w:rsidP="00820AE2">
      <w:pPr>
        <w:rPr>
          <w:lang w:val="nl-NL"/>
        </w:rPr>
      </w:pPr>
    </w:p>
    <w:p w:rsidR="00820AE2" w:rsidRPr="0004738B" w:rsidRDefault="00820AE2" w:rsidP="00820AE2">
      <w:pPr>
        <w:rPr>
          <w:color w:val="FF0000"/>
          <w:sz w:val="16"/>
          <w:szCs w:val="16"/>
          <w:lang w:val="nl-NL"/>
        </w:rPr>
      </w:pPr>
      <w:r w:rsidRPr="0004738B">
        <w:rPr>
          <w:color w:val="FF0000"/>
          <w:sz w:val="16"/>
          <w:szCs w:val="16"/>
          <w:lang w:val="nl-NL"/>
        </w:rPr>
        <w:t>https://docs.oracle.com/en/middleware/goldengate/core/19.1/oggmp/getting-started-oracle-cloud-marketplace.html#GUID-1587D0B6-72F1-4CD7-8BB9-FE9CEF271C4F</w:t>
      </w:r>
    </w:p>
    <w:p w:rsidR="00820AE2" w:rsidRPr="0062293A" w:rsidRDefault="00820AE2" w:rsidP="00820AE2">
      <w:pPr>
        <w:spacing w:before="150" w:after="150" w:line="240" w:lineRule="auto"/>
        <w:outlineLvl w:val="1"/>
        <w:rPr>
          <w:rFonts w:ascii="inherit" w:eastAsia="Times New Roman" w:hAnsi="inherit" w:cs="Times New Roman"/>
          <w:b/>
          <w:bCs/>
          <w:color w:val="FF0000"/>
          <w:sz w:val="20"/>
          <w:szCs w:val="20"/>
          <w:lang w:val="en-NL" w:eastAsia="en-NL"/>
        </w:rPr>
      </w:pPr>
      <w:r w:rsidRPr="0062293A">
        <w:rPr>
          <w:rFonts w:ascii="inherit" w:eastAsia="Times New Roman" w:hAnsi="inherit" w:cs="Times New Roman"/>
          <w:b/>
          <w:bCs/>
          <w:color w:val="FF0000"/>
          <w:sz w:val="20"/>
          <w:szCs w:val="20"/>
          <w:lang w:val="en-NL" w:eastAsia="en-NL"/>
        </w:rPr>
        <w:t xml:space="preserve">Oracle </w:t>
      </w:r>
      <w:proofErr w:type="spellStart"/>
      <w:r w:rsidRPr="0062293A">
        <w:rPr>
          <w:rFonts w:ascii="inherit" w:eastAsia="Times New Roman" w:hAnsi="inherit" w:cs="Times New Roman"/>
          <w:b/>
          <w:bCs/>
          <w:color w:val="FF0000"/>
          <w:sz w:val="20"/>
          <w:szCs w:val="20"/>
          <w:lang w:val="en-NL" w:eastAsia="en-NL"/>
        </w:rPr>
        <w:t>GoldenGate</w:t>
      </w:r>
      <w:proofErr w:type="spellEnd"/>
      <w:r w:rsidRPr="0062293A">
        <w:rPr>
          <w:rFonts w:ascii="inherit" w:eastAsia="Times New Roman" w:hAnsi="inherit" w:cs="Times New Roman"/>
          <w:b/>
          <w:bCs/>
          <w:color w:val="FF0000"/>
          <w:sz w:val="20"/>
          <w:szCs w:val="20"/>
          <w:lang w:val="en-NL" w:eastAsia="en-NL"/>
        </w:rPr>
        <w:t xml:space="preserve"> Microservices for Oracle</w:t>
      </w:r>
    </w:p>
    <w:p w:rsidR="00820AE2" w:rsidRPr="0062293A" w:rsidRDefault="00820AE2" w:rsidP="00820AE2">
      <w:pPr>
        <w:spacing w:before="300" w:after="150" w:line="240" w:lineRule="auto"/>
        <w:outlineLvl w:val="2"/>
        <w:rPr>
          <w:rFonts w:ascii="inherit" w:eastAsia="Times New Roman" w:hAnsi="inherit" w:cs="Segoe UI"/>
          <w:color w:val="1A1816"/>
          <w:sz w:val="20"/>
          <w:szCs w:val="20"/>
          <w:lang w:val="en-NL" w:eastAsia="en-NL"/>
        </w:rPr>
      </w:pPr>
      <w:bookmarkStart w:id="0" w:name="GUID-60796AA1-4443-4AE5-8561-3A9D3CCE456"/>
      <w:bookmarkEnd w:id="0"/>
      <w:r w:rsidRPr="0062293A">
        <w:rPr>
          <w:rFonts w:ascii="inherit" w:eastAsia="Times New Roman" w:hAnsi="inherit" w:cs="Segoe UI"/>
          <w:color w:val="1A1816"/>
          <w:sz w:val="20"/>
          <w:szCs w:val="20"/>
          <w:lang w:val="en-NL" w:eastAsia="en-NL"/>
        </w:rPr>
        <w:t>2.1 Overview</w:t>
      </w:r>
    </w:p>
    <w:p w:rsidR="00820AE2" w:rsidRPr="0062293A" w:rsidRDefault="00820AE2" w:rsidP="00820AE2">
      <w:pPr>
        <w:spacing w:before="210" w:after="210" w:line="240" w:lineRule="auto"/>
        <w:rPr>
          <w:rFonts w:ascii="Segoe UI" w:eastAsia="Times New Roman" w:hAnsi="Segoe UI" w:cs="Segoe UI"/>
          <w:color w:val="1A1816"/>
          <w:sz w:val="20"/>
          <w:szCs w:val="20"/>
          <w:lang w:val="en-NL" w:eastAsia="en-NL"/>
        </w:rPr>
      </w:pPr>
      <w:r w:rsidRPr="0062293A">
        <w:rPr>
          <w:rFonts w:ascii="Segoe UI" w:eastAsia="Times New Roman" w:hAnsi="Segoe UI" w:cs="Segoe UI"/>
          <w:color w:val="1A1816"/>
          <w:sz w:val="20"/>
          <w:szCs w:val="20"/>
          <w:lang w:val="en-NL" w:eastAsia="en-NL"/>
        </w:rPr>
        <w:t xml:space="preserve">Oracle </w:t>
      </w:r>
      <w:proofErr w:type="spellStart"/>
      <w:r w:rsidRPr="0062293A">
        <w:rPr>
          <w:rFonts w:ascii="Segoe UI" w:eastAsia="Times New Roman" w:hAnsi="Segoe UI" w:cs="Segoe UI"/>
          <w:color w:val="1A1816"/>
          <w:sz w:val="20"/>
          <w:szCs w:val="20"/>
          <w:lang w:val="en-NL" w:eastAsia="en-NL"/>
        </w:rPr>
        <w:t>GoldenGate</w:t>
      </w:r>
      <w:proofErr w:type="spellEnd"/>
      <w:r w:rsidRPr="0062293A">
        <w:rPr>
          <w:rFonts w:ascii="Segoe UI" w:eastAsia="Times New Roman" w:hAnsi="Segoe UI" w:cs="Segoe UI"/>
          <w:color w:val="1A1816"/>
          <w:sz w:val="20"/>
          <w:szCs w:val="20"/>
          <w:lang w:val="en-NL" w:eastAsia="en-NL"/>
        </w:rPr>
        <w:t xml:space="preserve"> is the industry’s premier replication tool and this replication platform supports a wide range of Oracle and other heterogeneous platforms. The addition of the Microservices Architecture allows this premier replication tool to scale out to the cloud and provide a secure, flexible and scalable replication platform.</w:t>
      </w:r>
    </w:p>
    <w:p w:rsidR="00820AE2" w:rsidRPr="0062293A" w:rsidRDefault="00820AE2" w:rsidP="00820AE2">
      <w:pPr>
        <w:spacing w:before="210" w:after="210" w:line="240" w:lineRule="auto"/>
        <w:rPr>
          <w:rFonts w:ascii="Segoe UI" w:eastAsia="Times New Roman" w:hAnsi="Segoe UI" w:cs="Segoe UI"/>
          <w:color w:val="1A1816"/>
          <w:sz w:val="20"/>
          <w:szCs w:val="20"/>
          <w:lang w:val="en-NL" w:eastAsia="en-NL"/>
        </w:rPr>
      </w:pPr>
      <w:r w:rsidRPr="0062293A">
        <w:rPr>
          <w:rFonts w:ascii="Segoe UI" w:eastAsia="Times New Roman" w:hAnsi="Segoe UI" w:cs="Segoe UI"/>
          <w:color w:val="1A1816"/>
          <w:sz w:val="20"/>
          <w:szCs w:val="20"/>
          <w:lang w:val="en-NL" w:eastAsia="en-NL"/>
        </w:rPr>
        <w:t xml:space="preserve">By using Oracle </w:t>
      </w:r>
      <w:proofErr w:type="spellStart"/>
      <w:r w:rsidRPr="0062293A">
        <w:rPr>
          <w:rFonts w:ascii="Segoe UI" w:eastAsia="Times New Roman" w:hAnsi="Segoe UI" w:cs="Segoe UI"/>
          <w:color w:val="1A1816"/>
          <w:sz w:val="20"/>
          <w:szCs w:val="20"/>
          <w:lang w:val="en-NL" w:eastAsia="en-NL"/>
        </w:rPr>
        <w:t>GoldenGate</w:t>
      </w:r>
      <w:proofErr w:type="spellEnd"/>
      <w:r w:rsidRPr="0062293A">
        <w:rPr>
          <w:rFonts w:ascii="Segoe UI" w:eastAsia="Times New Roman" w:hAnsi="Segoe UI" w:cs="Segoe UI"/>
          <w:color w:val="1A1816"/>
          <w:sz w:val="20"/>
          <w:szCs w:val="20"/>
          <w:lang w:val="en-NL" w:eastAsia="en-NL"/>
        </w:rPr>
        <w:t xml:space="preserve"> Microservices on Oracle Cloud Marketplace, replication from on-premises to cloud and cloud-to-cloud platforms can easily be established and managed.</w:t>
      </w:r>
    </w:p>
    <w:p w:rsidR="00820AE2" w:rsidRPr="0062293A" w:rsidRDefault="00820AE2" w:rsidP="00820AE2">
      <w:pPr>
        <w:rPr>
          <w:sz w:val="20"/>
          <w:szCs w:val="20"/>
          <w:lang w:val="en-NL"/>
        </w:rPr>
      </w:pPr>
    </w:p>
    <w:p w:rsidR="00820AE2" w:rsidRPr="0062293A" w:rsidRDefault="00820AE2" w:rsidP="00820AE2">
      <w:pPr>
        <w:pStyle w:val="Kop2"/>
        <w:spacing w:before="150" w:beforeAutospacing="0" w:after="150" w:afterAutospacing="0"/>
        <w:rPr>
          <w:rFonts w:ascii="inherit" w:hAnsi="inherit"/>
          <w:color w:val="FF0000"/>
          <w:sz w:val="20"/>
          <w:szCs w:val="20"/>
        </w:rPr>
      </w:pPr>
      <w:r w:rsidRPr="0062293A">
        <w:rPr>
          <w:rFonts w:ascii="inherit" w:hAnsi="inherit"/>
          <w:color w:val="FF0000"/>
          <w:sz w:val="20"/>
          <w:szCs w:val="20"/>
        </w:rPr>
        <w:t>Getting Started with Oracle Cloud Marketplace</w:t>
      </w:r>
    </w:p>
    <w:p w:rsidR="00820AE2" w:rsidRPr="0062293A" w:rsidRDefault="00820AE2" w:rsidP="00820AE2">
      <w:pPr>
        <w:pStyle w:val="Normaalweb"/>
        <w:spacing w:before="210" w:beforeAutospacing="0" w:after="210" w:afterAutospacing="0"/>
        <w:rPr>
          <w:rFonts w:ascii="Segoe UI" w:hAnsi="Segoe UI" w:cs="Segoe UI"/>
          <w:color w:val="1A1816"/>
          <w:sz w:val="20"/>
          <w:szCs w:val="20"/>
        </w:rPr>
      </w:pPr>
      <w:r w:rsidRPr="0062293A">
        <w:rPr>
          <w:rFonts w:ascii="Segoe UI" w:hAnsi="Segoe UI" w:cs="Segoe UI"/>
          <w:color w:val="1A1816"/>
          <w:sz w:val="20"/>
          <w:szCs w:val="20"/>
        </w:rPr>
        <w:t xml:space="preserve">This chapter provides an introduction to Oracle </w:t>
      </w:r>
      <w:proofErr w:type="spellStart"/>
      <w:r w:rsidRPr="0062293A">
        <w:rPr>
          <w:rFonts w:ascii="Segoe UI" w:hAnsi="Segoe UI" w:cs="Segoe UI"/>
          <w:color w:val="1A1816"/>
          <w:sz w:val="20"/>
          <w:szCs w:val="20"/>
        </w:rPr>
        <w:t>GoldenGate</w:t>
      </w:r>
      <w:proofErr w:type="spellEnd"/>
      <w:r w:rsidRPr="0062293A">
        <w:rPr>
          <w:rFonts w:ascii="Segoe UI" w:hAnsi="Segoe UI" w:cs="Segoe UI"/>
          <w:color w:val="1A1816"/>
          <w:sz w:val="20"/>
          <w:szCs w:val="20"/>
        </w:rPr>
        <w:t xml:space="preserve"> on the Oracle Cloud Marketplace.</w:t>
      </w:r>
    </w:p>
    <w:p w:rsidR="00820AE2" w:rsidRPr="0062293A" w:rsidRDefault="00820AE2" w:rsidP="00820AE2">
      <w:pPr>
        <w:pStyle w:val="Kop3"/>
        <w:spacing w:before="300" w:beforeAutospacing="0" w:after="150" w:afterAutospacing="0"/>
        <w:rPr>
          <w:rFonts w:ascii="inherit" w:hAnsi="inherit" w:cs="Segoe UI"/>
          <w:b w:val="0"/>
          <w:bCs w:val="0"/>
          <w:color w:val="1A1816"/>
          <w:sz w:val="20"/>
          <w:szCs w:val="20"/>
        </w:rPr>
      </w:pPr>
      <w:bookmarkStart w:id="1" w:name="GUID-B794074E-08B1-43B3-96A2-6B622C3F033"/>
      <w:bookmarkEnd w:id="1"/>
      <w:r w:rsidRPr="0062293A">
        <w:rPr>
          <w:rStyle w:val="enumerationsection"/>
          <w:rFonts w:ascii="inherit" w:hAnsi="inherit" w:cs="Segoe UI"/>
          <w:b w:val="0"/>
          <w:bCs w:val="0"/>
          <w:color w:val="1A1816"/>
          <w:sz w:val="20"/>
          <w:szCs w:val="20"/>
        </w:rPr>
        <w:t>1.1 </w:t>
      </w:r>
      <w:r w:rsidRPr="0062293A">
        <w:rPr>
          <w:rFonts w:ascii="inherit" w:hAnsi="inherit" w:cs="Segoe UI"/>
          <w:b w:val="0"/>
          <w:bCs w:val="0"/>
          <w:color w:val="1A1816"/>
          <w:sz w:val="20"/>
          <w:szCs w:val="20"/>
        </w:rPr>
        <w:t>Overview</w:t>
      </w:r>
    </w:p>
    <w:p w:rsidR="00820AE2" w:rsidRPr="0062293A" w:rsidRDefault="00820AE2" w:rsidP="00820AE2">
      <w:pPr>
        <w:pStyle w:val="Normaalweb"/>
        <w:spacing w:before="210" w:beforeAutospacing="0" w:after="210" w:afterAutospacing="0"/>
        <w:rPr>
          <w:rFonts w:ascii="Segoe UI" w:hAnsi="Segoe UI" w:cs="Segoe UI"/>
          <w:color w:val="1A1816"/>
          <w:sz w:val="20"/>
          <w:szCs w:val="20"/>
        </w:rPr>
      </w:pPr>
      <w:r w:rsidRPr="0062293A">
        <w:rPr>
          <w:rFonts w:ascii="Segoe UI" w:hAnsi="Segoe UI" w:cs="Segoe UI"/>
          <w:color w:val="1A1816"/>
          <w:sz w:val="20"/>
          <w:szCs w:val="20"/>
        </w:rPr>
        <w:t xml:space="preserve">Oracle </w:t>
      </w:r>
      <w:proofErr w:type="spellStart"/>
      <w:r w:rsidRPr="0062293A">
        <w:rPr>
          <w:rFonts w:ascii="Segoe UI" w:hAnsi="Segoe UI" w:cs="Segoe UI"/>
          <w:color w:val="1A1816"/>
          <w:sz w:val="20"/>
          <w:szCs w:val="20"/>
        </w:rPr>
        <w:t>GoldenGate</w:t>
      </w:r>
      <w:proofErr w:type="spellEnd"/>
      <w:r w:rsidRPr="0062293A">
        <w:rPr>
          <w:rFonts w:ascii="Segoe UI" w:hAnsi="Segoe UI" w:cs="Segoe UI"/>
          <w:color w:val="1A1816"/>
          <w:sz w:val="20"/>
          <w:szCs w:val="20"/>
        </w:rPr>
        <w:t xml:space="preserve"> on Oracle Cloud Marketplace is the cloud based version of Oracle </w:t>
      </w:r>
      <w:proofErr w:type="spellStart"/>
      <w:r w:rsidRPr="0062293A">
        <w:rPr>
          <w:rFonts w:ascii="Segoe UI" w:hAnsi="Segoe UI" w:cs="Segoe UI"/>
          <w:color w:val="1A1816"/>
          <w:sz w:val="20"/>
          <w:szCs w:val="20"/>
        </w:rPr>
        <w:t>GoldenGate</w:t>
      </w:r>
      <w:proofErr w:type="spellEnd"/>
      <w:r w:rsidRPr="0062293A">
        <w:rPr>
          <w:rFonts w:ascii="Segoe UI" w:hAnsi="Segoe UI" w:cs="Segoe UI"/>
          <w:color w:val="1A1816"/>
          <w:sz w:val="20"/>
          <w:szCs w:val="20"/>
        </w:rPr>
        <w:t xml:space="preserve"> and provides the same benefits, scalability, security, and robustness that you can rely on for enterprise replication.</w:t>
      </w:r>
    </w:p>
    <w:p w:rsidR="00820AE2" w:rsidRPr="0062293A" w:rsidRDefault="00820AE2" w:rsidP="00820AE2">
      <w:pPr>
        <w:pStyle w:val="Kop3"/>
        <w:spacing w:before="300" w:beforeAutospacing="0" w:after="150" w:afterAutospacing="0"/>
        <w:rPr>
          <w:rFonts w:ascii="inherit" w:hAnsi="inherit" w:cs="Segoe UI"/>
          <w:b w:val="0"/>
          <w:bCs w:val="0"/>
          <w:color w:val="1A1816"/>
          <w:sz w:val="20"/>
          <w:szCs w:val="20"/>
        </w:rPr>
      </w:pPr>
      <w:bookmarkStart w:id="2" w:name="GUID-1DD897A1-D836-476D-88A0-1B162861C29"/>
      <w:bookmarkEnd w:id="2"/>
      <w:r w:rsidRPr="0062293A">
        <w:rPr>
          <w:rStyle w:val="enumerationsection"/>
          <w:rFonts w:ascii="inherit" w:hAnsi="inherit" w:cs="Segoe UI"/>
          <w:b w:val="0"/>
          <w:bCs w:val="0"/>
          <w:color w:val="1A1816"/>
          <w:sz w:val="20"/>
          <w:szCs w:val="20"/>
        </w:rPr>
        <w:t>1.2 </w:t>
      </w:r>
      <w:r w:rsidRPr="0062293A">
        <w:rPr>
          <w:rFonts w:ascii="inherit" w:hAnsi="inherit" w:cs="Segoe UI"/>
          <w:b w:val="0"/>
          <w:bCs w:val="0"/>
          <w:color w:val="1A1816"/>
          <w:sz w:val="20"/>
          <w:szCs w:val="20"/>
        </w:rPr>
        <w:t>Resources</w:t>
      </w:r>
    </w:p>
    <w:p w:rsidR="00820AE2" w:rsidRPr="0062293A" w:rsidRDefault="00820AE2" w:rsidP="00820AE2">
      <w:pPr>
        <w:pStyle w:val="Normaalweb"/>
        <w:spacing w:before="210" w:beforeAutospacing="0" w:after="210" w:afterAutospacing="0"/>
        <w:rPr>
          <w:rFonts w:ascii="Segoe UI" w:hAnsi="Segoe UI" w:cs="Segoe UI"/>
          <w:color w:val="1A1816"/>
          <w:sz w:val="20"/>
          <w:szCs w:val="20"/>
        </w:rPr>
      </w:pPr>
      <w:r w:rsidRPr="0062293A">
        <w:rPr>
          <w:rFonts w:ascii="Segoe UI" w:hAnsi="Segoe UI" w:cs="Segoe UI"/>
          <w:color w:val="1A1816"/>
          <w:sz w:val="20"/>
          <w:szCs w:val="20"/>
        </w:rPr>
        <w:t xml:space="preserve">The Oracle </w:t>
      </w:r>
      <w:proofErr w:type="spellStart"/>
      <w:r w:rsidRPr="0062293A">
        <w:rPr>
          <w:rFonts w:ascii="Segoe UI" w:hAnsi="Segoe UI" w:cs="Segoe UI"/>
          <w:color w:val="1A1816"/>
          <w:sz w:val="20"/>
          <w:szCs w:val="20"/>
        </w:rPr>
        <w:t>GoldenGate</w:t>
      </w:r>
      <w:proofErr w:type="spellEnd"/>
      <w:r w:rsidRPr="0062293A">
        <w:rPr>
          <w:rFonts w:ascii="Segoe UI" w:hAnsi="Segoe UI" w:cs="Segoe UI"/>
          <w:color w:val="1A1816"/>
          <w:sz w:val="20"/>
          <w:szCs w:val="20"/>
        </w:rPr>
        <w:t xml:space="preserve"> image on Oracle Cloud Marketplace contains the latest Oracle </w:t>
      </w:r>
      <w:proofErr w:type="spellStart"/>
      <w:r w:rsidRPr="0062293A">
        <w:rPr>
          <w:rFonts w:ascii="Segoe UI" w:hAnsi="Segoe UI" w:cs="Segoe UI"/>
          <w:color w:val="1A1816"/>
          <w:sz w:val="20"/>
          <w:szCs w:val="20"/>
        </w:rPr>
        <w:t>GoldenGate</w:t>
      </w:r>
      <w:proofErr w:type="spellEnd"/>
      <w:r w:rsidRPr="0062293A">
        <w:rPr>
          <w:rFonts w:ascii="Segoe UI" w:hAnsi="Segoe UI" w:cs="Segoe UI"/>
          <w:color w:val="1A1816"/>
          <w:sz w:val="20"/>
          <w:szCs w:val="20"/>
        </w:rPr>
        <w:t xml:space="preserve"> release along with Oracle Database Client software for all supported versions of Oracle Database.</w:t>
      </w:r>
    </w:p>
    <w:p w:rsidR="00820AE2" w:rsidRPr="0062293A" w:rsidRDefault="00820AE2" w:rsidP="00820AE2">
      <w:pPr>
        <w:pStyle w:val="Kop3"/>
        <w:shd w:val="clear" w:color="auto" w:fill="FCFBFA"/>
        <w:spacing w:before="300" w:beforeAutospacing="0" w:after="150" w:afterAutospacing="0"/>
        <w:rPr>
          <w:rFonts w:ascii="Segoe UI" w:hAnsi="Segoe UI" w:cs="Segoe UI"/>
          <w:b w:val="0"/>
          <w:bCs w:val="0"/>
          <w:color w:val="1A1816"/>
          <w:sz w:val="20"/>
          <w:szCs w:val="20"/>
        </w:rPr>
      </w:pPr>
      <w:r w:rsidRPr="0062293A">
        <w:rPr>
          <w:rFonts w:ascii="Segoe UI" w:hAnsi="Segoe UI" w:cs="Segoe UI"/>
          <w:b w:val="0"/>
          <w:bCs w:val="0"/>
          <w:color w:val="1A1816"/>
          <w:sz w:val="20"/>
          <w:szCs w:val="20"/>
        </w:rPr>
        <w:t>Cross Cloud Functionality</w:t>
      </w:r>
    </w:p>
    <w:p w:rsidR="00820AE2" w:rsidRPr="0062293A" w:rsidRDefault="00820AE2" w:rsidP="00820AE2">
      <w:pPr>
        <w:pStyle w:val="Normaalweb"/>
        <w:shd w:val="clear" w:color="auto" w:fill="FCFBFA"/>
        <w:spacing w:before="210" w:beforeAutospacing="0" w:after="210" w:afterAutospacing="0"/>
        <w:rPr>
          <w:rFonts w:ascii="Segoe UI" w:hAnsi="Segoe UI" w:cs="Segoe UI"/>
          <w:color w:val="1A1816"/>
          <w:sz w:val="20"/>
          <w:szCs w:val="20"/>
        </w:rPr>
      </w:pPr>
      <w:r w:rsidRPr="0062293A">
        <w:rPr>
          <w:rFonts w:ascii="Segoe UI" w:hAnsi="Segoe UI" w:cs="Segoe UI"/>
          <w:color w:val="1A1816"/>
          <w:sz w:val="20"/>
          <w:szCs w:val="20"/>
        </w:rPr>
        <w:t xml:space="preserve">Oracle </w:t>
      </w:r>
      <w:proofErr w:type="spellStart"/>
      <w:r w:rsidRPr="0062293A">
        <w:rPr>
          <w:rFonts w:ascii="Segoe UI" w:hAnsi="Segoe UI" w:cs="Segoe UI"/>
          <w:color w:val="1A1816"/>
          <w:sz w:val="20"/>
          <w:szCs w:val="20"/>
        </w:rPr>
        <w:t>GoldenGate</w:t>
      </w:r>
      <w:proofErr w:type="spellEnd"/>
      <w:r w:rsidRPr="0062293A">
        <w:rPr>
          <w:rFonts w:ascii="Segoe UI" w:hAnsi="Segoe UI" w:cs="Segoe UI"/>
          <w:color w:val="1A1816"/>
          <w:sz w:val="20"/>
          <w:szCs w:val="20"/>
        </w:rPr>
        <w:t xml:space="preserve"> is designed for large scale, cloud based architectures and Oracle </w:t>
      </w:r>
      <w:proofErr w:type="spellStart"/>
      <w:r w:rsidRPr="0062293A">
        <w:rPr>
          <w:rFonts w:ascii="Segoe UI" w:hAnsi="Segoe UI" w:cs="Segoe UI"/>
          <w:color w:val="1A1816"/>
          <w:sz w:val="20"/>
          <w:szCs w:val="20"/>
        </w:rPr>
        <w:t>GoldenGate</w:t>
      </w:r>
      <w:proofErr w:type="spellEnd"/>
      <w:r w:rsidRPr="0062293A">
        <w:rPr>
          <w:rFonts w:ascii="Segoe UI" w:hAnsi="Segoe UI" w:cs="Segoe UI"/>
          <w:color w:val="1A1816"/>
          <w:sz w:val="20"/>
          <w:szCs w:val="20"/>
        </w:rPr>
        <w:t xml:space="preserve"> on Oracle Cloud Marketplace is a key to many cloud-based solutions. By using Oracle </w:t>
      </w:r>
      <w:proofErr w:type="spellStart"/>
      <w:r w:rsidRPr="0062293A">
        <w:rPr>
          <w:rFonts w:ascii="Segoe UI" w:hAnsi="Segoe UI" w:cs="Segoe UI"/>
          <w:color w:val="1A1816"/>
          <w:sz w:val="20"/>
          <w:szCs w:val="20"/>
        </w:rPr>
        <w:t>GoldenGate</w:t>
      </w:r>
      <w:proofErr w:type="spellEnd"/>
      <w:r w:rsidRPr="0062293A">
        <w:rPr>
          <w:rFonts w:ascii="Segoe UI" w:hAnsi="Segoe UI" w:cs="Segoe UI"/>
          <w:color w:val="1A1816"/>
          <w:sz w:val="20"/>
          <w:szCs w:val="20"/>
        </w:rPr>
        <w:t xml:space="preserve"> from the Oracle Cloud Marketplace, you can replicate data from on premise to the Oracle Cloud, between data points within the Oracle Cloud, or even between third party clouds.</w:t>
      </w:r>
    </w:p>
    <w:p w:rsidR="00820AE2" w:rsidRPr="009C1F0B" w:rsidRDefault="00820AE2" w:rsidP="00820AE2">
      <w:pPr>
        <w:shd w:val="clear" w:color="auto" w:fill="FCFBFA"/>
        <w:spacing w:line="240" w:lineRule="auto"/>
        <w:rPr>
          <w:rFonts w:ascii="Segoe UI" w:eastAsia="Times New Roman" w:hAnsi="Segoe UI" w:cs="Segoe UI"/>
          <w:color w:val="1A1816"/>
          <w:sz w:val="24"/>
          <w:szCs w:val="24"/>
          <w:lang w:val="en-NL" w:eastAsia="en-NL"/>
        </w:rPr>
      </w:pPr>
      <w:r w:rsidRPr="009C1F0B">
        <w:rPr>
          <w:rFonts w:ascii="Segoe UI" w:eastAsia="Times New Roman" w:hAnsi="Segoe UI" w:cs="Segoe UI"/>
          <w:color w:val="1A1816"/>
          <w:sz w:val="24"/>
          <w:szCs w:val="24"/>
          <w:lang w:val="en-NL" w:eastAsia="en-NL"/>
        </w:rPr>
        <w:t xml:space="preserve">Oracle </w:t>
      </w:r>
      <w:proofErr w:type="spellStart"/>
      <w:r w:rsidRPr="009C1F0B">
        <w:rPr>
          <w:rFonts w:ascii="Segoe UI" w:eastAsia="Times New Roman" w:hAnsi="Segoe UI" w:cs="Segoe UI"/>
          <w:color w:val="1A1816"/>
          <w:sz w:val="24"/>
          <w:szCs w:val="24"/>
          <w:lang w:val="en-NL" w:eastAsia="en-NL"/>
        </w:rPr>
        <w:t>GoldenGate</w:t>
      </w:r>
      <w:proofErr w:type="spellEnd"/>
      <w:r w:rsidRPr="009C1F0B">
        <w:rPr>
          <w:rFonts w:ascii="Segoe UI" w:eastAsia="Times New Roman" w:hAnsi="Segoe UI" w:cs="Segoe UI"/>
          <w:color w:val="1A1816"/>
          <w:sz w:val="24"/>
          <w:szCs w:val="24"/>
          <w:lang w:val="en-NL" w:eastAsia="en-NL"/>
        </w:rPr>
        <w:t xml:space="preserve"> runs on different OCI Compute Sizes. The following table provides details on the supported OCI Compute Sizes:</w:t>
      </w:r>
    </w:p>
    <w:tbl>
      <w:tblPr>
        <w:tblW w:w="5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Caption w:val=""/>
        <w:tblDescription w:val="This table provides details on the supported OCI Compute Sizes ."/>
      </w:tblPr>
      <w:tblGrid>
        <w:gridCol w:w="1995"/>
        <w:gridCol w:w="991"/>
        <w:gridCol w:w="1134"/>
        <w:gridCol w:w="1417"/>
      </w:tblGrid>
      <w:tr w:rsidR="00820AE2" w:rsidRPr="009C1F0B" w:rsidTr="007955B0">
        <w:trPr>
          <w:trHeight w:val="570"/>
          <w:tblHeader/>
        </w:trPr>
        <w:tc>
          <w:tcPr>
            <w:tcW w:w="1801" w:type="pct"/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820AE2" w:rsidRPr="009C1F0B" w:rsidRDefault="00820AE2" w:rsidP="007955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A1816"/>
                <w:sz w:val="21"/>
                <w:szCs w:val="21"/>
                <w:lang w:val="en-NL" w:eastAsia="en-NL"/>
              </w:rPr>
            </w:pPr>
            <w:r w:rsidRPr="009C1F0B">
              <w:rPr>
                <w:rFonts w:ascii="Times New Roman" w:eastAsia="Times New Roman" w:hAnsi="Times New Roman" w:cs="Times New Roman"/>
                <w:b/>
                <w:bCs/>
                <w:color w:val="1A1816"/>
                <w:sz w:val="21"/>
                <w:szCs w:val="21"/>
                <w:lang w:val="en-NL" w:eastAsia="en-NL"/>
              </w:rPr>
              <w:lastRenderedPageBreak/>
              <w:t>Compute Shape</w:t>
            </w:r>
          </w:p>
        </w:tc>
        <w:tc>
          <w:tcPr>
            <w:tcW w:w="895" w:type="pct"/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820AE2" w:rsidRPr="009C1F0B" w:rsidRDefault="00820AE2" w:rsidP="007955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A1816"/>
                <w:sz w:val="21"/>
                <w:szCs w:val="21"/>
                <w:lang w:val="en-NL" w:eastAsia="en-NL"/>
              </w:rPr>
            </w:pPr>
            <w:r w:rsidRPr="009C1F0B">
              <w:rPr>
                <w:rFonts w:ascii="Times New Roman" w:eastAsia="Times New Roman" w:hAnsi="Times New Roman" w:cs="Times New Roman"/>
                <w:b/>
                <w:bCs/>
                <w:color w:val="1A1816"/>
                <w:sz w:val="21"/>
                <w:szCs w:val="21"/>
                <w:lang w:val="en-NL" w:eastAsia="en-NL"/>
              </w:rPr>
              <w:t>CPU</w:t>
            </w:r>
          </w:p>
        </w:tc>
        <w:tc>
          <w:tcPr>
            <w:tcW w:w="1024" w:type="pct"/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820AE2" w:rsidRPr="009C1F0B" w:rsidRDefault="00820AE2" w:rsidP="007955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A1816"/>
                <w:sz w:val="21"/>
                <w:szCs w:val="21"/>
                <w:lang w:val="en-NL" w:eastAsia="en-NL"/>
              </w:rPr>
            </w:pPr>
            <w:r w:rsidRPr="009C1F0B">
              <w:rPr>
                <w:rFonts w:ascii="Times New Roman" w:eastAsia="Times New Roman" w:hAnsi="Times New Roman" w:cs="Times New Roman"/>
                <w:b/>
                <w:bCs/>
                <w:color w:val="1A1816"/>
                <w:sz w:val="21"/>
                <w:szCs w:val="21"/>
                <w:lang w:val="en-NL" w:eastAsia="en-NL"/>
              </w:rPr>
              <w:t>Memory</w:t>
            </w:r>
          </w:p>
        </w:tc>
        <w:tc>
          <w:tcPr>
            <w:tcW w:w="1280" w:type="pct"/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820AE2" w:rsidRPr="009C1F0B" w:rsidRDefault="00820AE2" w:rsidP="007955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A1816"/>
                <w:sz w:val="21"/>
                <w:szCs w:val="21"/>
                <w:lang w:val="en-NL" w:eastAsia="en-NL"/>
              </w:rPr>
            </w:pPr>
            <w:r w:rsidRPr="009C1F0B">
              <w:rPr>
                <w:rFonts w:ascii="Times New Roman" w:eastAsia="Times New Roman" w:hAnsi="Times New Roman" w:cs="Times New Roman"/>
                <w:b/>
                <w:bCs/>
                <w:color w:val="1A1816"/>
                <w:sz w:val="21"/>
                <w:szCs w:val="21"/>
                <w:lang w:val="en-NL" w:eastAsia="en-NL"/>
              </w:rPr>
              <w:t>Bandwidth</w:t>
            </w:r>
          </w:p>
        </w:tc>
      </w:tr>
      <w:tr w:rsidR="00820AE2" w:rsidRPr="009C1F0B" w:rsidTr="007955B0">
        <w:tc>
          <w:tcPr>
            <w:tcW w:w="1801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20AE2" w:rsidRPr="009C1F0B" w:rsidRDefault="00820AE2" w:rsidP="007955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sz w:val="21"/>
                <w:szCs w:val="21"/>
                <w:lang w:val="en-NL" w:eastAsia="en-NL"/>
              </w:rPr>
            </w:pPr>
            <w:r w:rsidRPr="009C1F0B">
              <w:rPr>
                <w:rFonts w:ascii="Times New Roman" w:eastAsia="Times New Roman" w:hAnsi="Times New Roman" w:cs="Times New Roman"/>
                <w:color w:val="1A1816"/>
                <w:sz w:val="21"/>
                <w:szCs w:val="21"/>
                <w:lang w:val="en-NL" w:eastAsia="en-NL"/>
              </w:rPr>
              <w:t>VM.Standard2.4</w:t>
            </w:r>
          </w:p>
        </w:tc>
        <w:tc>
          <w:tcPr>
            <w:tcW w:w="89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20AE2" w:rsidRPr="009C1F0B" w:rsidRDefault="00820AE2" w:rsidP="007955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sz w:val="21"/>
                <w:szCs w:val="21"/>
                <w:lang w:val="en-NL" w:eastAsia="en-NL"/>
              </w:rPr>
            </w:pPr>
            <w:r w:rsidRPr="009C1F0B">
              <w:rPr>
                <w:rFonts w:ascii="Times New Roman" w:eastAsia="Times New Roman" w:hAnsi="Times New Roman" w:cs="Times New Roman"/>
                <w:color w:val="1A1816"/>
                <w:sz w:val="21"/>
                <w:szCs w:val="21"/>
                <w:lang w:val="en-NL" w:eastAsia="en-NL"/>
              </w:rPr>
              <w:t>4</w:t>
            </w:r>
          </w:p>
        </w:tc>
        <w:tc>
          <w:tcPr>
            <w:tcW w:w="102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20AE2" w:rsidRPr="009C1F0B" w:rsidRDefault="00820AE2" w:rsidP="007955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sz w:val="21"/>
                <w:szCs w:val="21"/>
                <w:lang w:val="en-NL" w:eastAsia="en-NL"/>
              </w:rPr>
            </w:pPr>
            <w:r w:rsidRPr="009C1F0B">
              <w:rPr>
                <w:rFonts w:ascii="Times New Roman" w:eastAsia="Times New Roman" w:hAnsi="Times New Roman" w:cs="Times New Roman"/>
                <w:color w:val="1A1816"/>
                <w:sz w:val="21"/>
                <w:szCs w:val="21"/>
                <w:lang w:val="en-NL" w:eastAsia="en-NL"/>
              </w:rPr>
              <w:t>60</w:t>
            </w:r>
          </w:p>
        </w:tc>
        <w:tc>
          <w:tcPr>
            <w:tcW w:w="128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20AE2" w:rsidRPr="009C1F0B" w:rsidRDefault="00820AE2" w:rsidP="007955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sz w:val="21"/>
                <w:szCs w:val="21"/>
                <w:lang w:val="en-NL" w:eastAsia="en-NL"/>
              </w:rPr>
            </w:pPr>
            <w:r w:rsidRPr="009C1F0B">
              <w:rPr>
                <w:rFonts w:ascii="Times New Roman" w:eastAsia="Times New Roman" w:hAnsi="Times New Roman" w:cs="Times New Roman"/>
                <w:color w:val="1A1816"/>
                <w:sz w:val="21"/>
                <w:szCs w:val="21"/>
                <w:lang w:val="en-NL" w:eastAsia="en-NL"/>
              </w:rPr>
              <w:t>4.1 Gbps</w:t>
            </w:r>
          </w:p>
        </w:tc>
      </w:tr>
      <w:tr w:rsidR="00820AE2" w:rsidRPr="009C1F0B" w:rsidTr="007955B0">
        <w:tc>
          <w:tcPr>
            <w:tcW w:w="1801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20AE2" w:rsidRPr="009C1F0B" w:rsidRDefault="00820AE2" w:rsidP="007955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sz w:val="21"/>
                <w:szCs w:val="21"/>
                <w:lang w:val="en-NL" w:eastAsia="en-NL"/>
              </w:rPr>
            </w:pPr>
            <w:r w:rsidRPr="009C1F0B">
              <w:rPr>
                <w:rFonts w:ascii="Times New Roman" w:eastAsia="Times New Roman" w:hAnsi="Times New Roman" w:cs="Times New Roman"/>
                <w:color w:val="1A1816"/>
                <w:sz w:val="21"/>
                <w:szCs w:val="21"/>
                <w:lang w:val="en-NL" w:eastAsia="en-NL"/>
              </w:rPr>
              <w:t>VM.Standard2.8</w:t>
            </w:r>
          </w:p>
        </w:tc>
        <w:tc>
          <w:tcPr>
            <w:tcW w:w="89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20AE2" w:rsidRPr="009C1F0B" w:rsidRDefault="00820AE2" w:rsidP="007955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sz w:val="21"/>
                <w:szCs w:val="21"/>
                <w:lang w:val="en-NL" w:eastAsia="en-NL"/>
              </w:rPr>
            </w:pPr>
            <w:r w:rsidRPr="009C1F0B">
              <w:rPr>
                <w:rFonts w:ascii="Times New Roman" w:eastAsia="Times New Roman" w:hAnsi="Times New Roman" w:cs="Times New Roman"/>
                <w:color w:val="1A1816"/>
                <w:sz w:val="21"/>
                <w:szCs w:val="21"/>
                <w:lang w:val="en-NL" w:eastAsia="en-NL"/>
              </w:rPr>
              <w:t>8</w:t>
            </w:r>
          </w:p>
        </w:tc>
        <w:tc>
          <w:tcPr>
            <w:tcW w:w="102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20AE2" w:rsidRPr="009C1F0B" w:rsidRDefault="00820AE2" w:rsidP="007955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sz w:val="21"/>
                <w:szCs w:val="21"/>
                <w:lang w:val="en-NL" w:eastAsia="en-NL"/>
              </w:rPr>
            </w:pPr>
            <w:r w:rsidRPr="009C1F0B">
              <w:rPr>
                <w:rFonts w:ascii="Times New Roman" w:eastAsia="Times New Roman" w:hAnsi="Times New Roman" w:cs="Times New Roman"/>
                <w:color w:val="1A1816"/>
                <w:sz w:val="21"/>
                <w:szCs w:val="21"/>
                <w:lang w:val="en-NL" w:eastAsia="en-NL"/>
              </w:rPr>
              <w:t>160</w:t>
            </w:r>
          </w:p>
        </w:tc>
        <w:tc>
          <w:tcPr>
            <w:tcW w:w="128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20AE2" w:rsidRPr="009C1F0B" w:rsidRDefault="00820AE2" w:rsidP="007955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sz w:val="21"/>
                <w:szCs w:val="21"/>
                <w:lang w:val="en-NL" w:eastAsia="en-NL"/>
              </w:rPr>
            </w:pPr>
            <w:r w:rsidRPr="009C1F0B">
              <w:rPr>
                <w:rFonts w:ascii="Times New Roman" w:eastAsia="Times New Roman" w:hAnsi="Times New Roman" w:cs="Times New Roman"/>
                <w:color w:val="1A1816"/>
                <w:sz w:val="21"/>
                <w:szCs w:val="21"/>
                <w:lang w:val="en-NL" w:eastAsia="en-NL"/>
              </w:rPr>
              <w:t>8.2 Gbps</w:t>
            </w:r>
          </w:p>
        </w:tc>
      </w:tr>
      <w:tr w:rsidR="00820AE2" w:rsidRPr="009C1F0B" w:rsidTr="007955B0">
        <w:tc>
          <w:tcPr>
            <w:tcW w:w="1801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20AE2" w:rsidRPr="009C1F0B" w:rsidRDefault="00820AE2" w:rsidP="007955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sz w:val="21"/>
                <w:szCs w:val="21"/>
                <w:lang w:val="en-NL" w:eastAsia="en-NL"/>
              </w:rPr>
            </w:pPr>
            <w:r w:rsidRPr="009C1F0B">
              <w:rPr>
                <w:rFonts w:ascii="Times New Roman" w:eastAsia="Times New Roman" w:hAnsi="Times New Roman" w:cs="Times New Roman"/>
                <w:color w:val="1A1816"/>
                <w:sz w:val="21"/>
                <w:szCs w:val="21"/>
                <w:lang w:val="en-NL" w:eastAsia="en-NL"/>
              </w:rPr>
              <w:t>VM.Standard2.16</w:t>
            </w:r>
          </w:p>
        </w:tc>
        <w:tc>
          <w:tcPr>
            <w:tcW w:w="89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20AE2" w:rsidRPr="009C1F0B" w:rsidRDefault="00820AE2" w:rsidP="007955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sz w:val="21"/>
                <w:szCs w:val="21"/>
                <w:lang w:val="en-NL" w:eastAsia="en-NL"/>
              </w:rPr>
            </w:pPr>
            <w:r w:rsidRPr="009C1F0B">
              <w:rPr>
                <w:rFonts w:ascii="Times New Roman" w:eastAsia="Times New Roman" w:hAnsi="Times New Roman" w:cs="Times New Roman"/>
                <w:color w:val="1A1816"/>
                <w:sz w:val="21"/>
                <w:szCs w:val="21"/>
                <w:lang w:val="en-NL" w:eastAsia="en-NL"/>
              </w:rPr>
              <w:t>16</w:t>
            </w:r>
          </w:p>
        </w:tc>
        <w:tc>
          <w:tcPr>
            <w:tcW w:w="102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20AE2" w:rsidRPr="009C1F0B" w:rsidRDefault="00820AE2" w:rsidP="007955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sz w:val="21"/>
                <w:szCs w:val="21"/>
                <w:lang w:val="en-NL" w:eastAsia="en-NL"/>
              </w:rPr>
            </w:pPr>
            <w:r w:rsidRPr="009C1F0B">
              <w:rPr>
                <w:rFonts w:ascii="Times New Roman" w:eastAsia="Times New Roman" w:hAnsi="Times New Roman" w:cs="Times New Roman"/>
                <w:color w:val="1A1816"/>
                <w:sz w:val="21"/>
                <w:szCs w:val="21"/>
                <w:lang w:val="en-NL" w:eastAsia="en-NL"/>
              </w:rPr>
              <w:t>240</w:t>
            </w:r>
          </w:p>
        </w:tc>
        <w:tc>
          <w:tcPr>
            <w:tcW w:w="128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20AE2" w:rsidRPr="009C1F0B" w:rsidRDefault="00820AE2" w:rsidP="007955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sz w:val="21"/>
                <w:szCs w:val="21"/>
                <w:lang w:val="en-NL" w:eastAsia="en-NL"/>
              </w:rPr>
            </w:pPr>
            <w:r w:rsidRPr="009C1F0B">
              <w:rPr>
                <w:rFonts w:ascii="Times New Roman" w:eastAsia="Times New Roman" w:hAnsi="Times New Roman" w:cs="Times New Roman"/>
                <w:color w:val="1A1816"/>
                <w:sz w:val="21"/>
                <w:szCs w:val="21"/>
                <w:lang w:val="en-NL" w:eastAsia="en-NL"/>
              </w:rPr>
              <w:t>16.4 Gbps</w:t>
            </w:r>
          </w:p>
        </w:tc>
      </w:tr>
      <w:tr w:rsidR="00820AE2" w:rsidRPr="009C1F0B" w:rsidTr="007955B0">
        <w:tc>
          <w:tcPr>
            <w:tcW w:w="1801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20AE2" w:rsidRPr="009C1F0B" w:rsidRDefault="00820AE2" w:rsidP="007955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sz w:val="21"/>
                <w:szCs w:val="21"/>
                <w:lang w:val="en-NL" w:eastAsia="en-NL"/>
              </w:rPr>
            </w:pPr>
            <w:r w:rsidRPr="009C1F0B">
              <w:rPr>
                <w:rFonts w:ascii="Times New Roman" w:eastAsia="Times New Roman" w:hAnsi="Times New Roman" w:cs="Times New Roman"/>
                <w:color w:val="1A1816"/>
                <w:sz w:val="21"/>
                <w:szCs w:val="21"/>
                <w:lang w:val="en-NL" w:eastAsia="en-NL"/>
              </w:rPr>
              <w:t>VM.Standard2.24</w:t>
            </w:r>
          </w:p>
        </w:tc>
        <w:tc>
          <w:tcPr>
            <w:tcW w:w="89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20AE2" w:rsidRPr="009C1F0B" w:rsidRDefault="00820AE2" w:rsidP="007955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sz w:val="21"/>
                <w:szCs w:val="21"/>
                <w:lang w:val="en-NL" w:eastAsia="en-NL"/>
              </w:rPr>
            </w:pPr>
            <w:r w:rsidRPr="009C1F0B">
              <w:rPr>
                <w:rFonts w:ascii="Times New Roman" w:eastAsia="Times New Roman" w:hAnsi="Times New Roman" w:cs="Times New Roman"/>
                <w:color w:val="1A1816"/>
                <w:sz w:val="21"/>
                <w:szCs w:val="21"/>
                <w:lang w:val="en-NL" w:eastAsia="en-NL"/>
              </w:rPr>
              <w:t>24</w:t>
            </w:r>
          </w:p>
        </w:tc>
        <w:tc>
          <w:tcPr>
            <w:tcW w:w="102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20AE2" w:rsidRPr="009C1F0B" w:rsidRDefault="00820AE2" w:rsidP="007955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sz w:val="21"/>
                <w:szCs w:val="21"/>
                <w:lang w:val="en-NL" w:eastAsia="en-NL"/>
              </w:rPr>
            </w:pPr>
            <w:r w:rsidRPr="009C1F0B">
              <w:rPr>
                <w:rFonts w:ascii="Times New Roman" w:eastAsia="Times New Roman" w:hAnsi="Times New Roman" w:cs="Times New Roman"/>
                <w:color w:val="1A1816"/>
                <w:sz w:val="21"/>
                <w:szCs w:val="21"/>
                <w:lang w:val="en-NL" w:eastAsia="en-NL"/>
              </w:rPr>
              <w:t>320</w:t>
            </w:r>
          </w:p>
        </w:tc>
        <w:tc>
          <w:tcPr>
            <w:tcW w:w="128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20AE2" w:rsidRPr="009C1F0B" w:rsidRDefault="00820AE2" w:rsidP="007955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sz w:val="21"/>
                <w:szCs w:val="21"/>
                <w:lang w:val="en-NL" w:eastAsia="en-NL"/>
              </w:rPr>
            </w:pPr>
            <w:r w:rsidRPr="009C1F0B">
              <w:rPr>
                <w:rFonts w:ascii="Times New Roman" w:eastAsia="Times New Roman" w:hAnsi="Times New Roman" w:cs="Times New Roman"/>
                <w:color w:val="1A1816"/>
                <w:sz w:val="21"/>
                <w:szCs w:val="21"/>
                <w:lang w:val="en-NL" w:eastAsia="en-NL"/>
              </w:rPr>
              <w:t>24.6 Gbps</w:t>
            </w:r>
          </w:p>
        </w:tc>
      </w:tr>
    </w:tbl>
    <w:p w:rsidR="00820AE2" w:rsidRPr="009C1F0B" w:rsidRDefault="00820AE2" w:rsidP="00820AE2">
      <w:pPr>
        <w:shd w:val="clear" w:color="auto" w:fill="FCFBFA"/>
        <w:spacing w:before="210" w:line="240" w:lineRule="auto"/>
        <w:rPr>
          <w:rFonts w:ascii="Segoe UI" w:eastAsia="Times New Roman" w:hAnsi="Segoe UI" w:cs="Segoe UI"/>
          <w:color w:val="1A1816"/>
          <w:sz w:val="24"/>
          <w:szCs w:val="24"/>
          <w:lang w:val="en-NL" w:eastAsia="en-NL"/>
        </w:rPr>
      </w:pPr>
      <w:r w:rsidRPr="009C1F0B">
        <w:rPr>
          <w:rFonts w:ascii="Segoe UI" w:eastAsia="Times New Roman" w:hAnsi="Segoe UI" w:cs="Segoe UI"/>
          <w:color w:val="1A1816"/>
          <w:sz w:val="24"/>
          <w:szCs w:val="24"/>
          <w:lang w:val="en-NL" w:eastAsia="en-NL"/>
        </w:rPr>
        <w:t>For pricing details on compute nodes, please refer to </w:t>
      </w:r>
      <w:hyperlink r:id="rId5" w:tgtFrame="_blank" w:history="1">
        <w:r w:rsidRPr="009C1F0B">
          <w:rPr>
            <w:rFonts w:ascii="Segoe UI" w:eastAsia="Times New Roman" w:hAnsi="Segoe UI" w:cs="Segoe UI"/>
            <w:color w:val="00688C"/>
            <w:sz w:val="24"/>
            <w:szCs w:val="24"/>
            <w:u w:val="single"/>
            <w:lang w:val="en-NL" w:eastAsia="en-NL"/>
          </w:rPr>
          <w:t>OCI Pricing</w:t>
        </w:r>
      </w:hyperlink>
      <w:r w:rsidRPr="009C1F0B">
        <w:rPr>
          <w:rFonts w:ascii="Segoe UI" w:eastAsia="Times New Roman" w:hAnsi="Segoe UI" w:cs="Segoe UI"/>
          <w:color w:val="1A1816"/>
          <w:sz w:val="24"/>
          <w:szCs w:val="24"/>
          <w:lang w:val="en-NL" w:eastAsia="en-NL"/>
        </w:rPr>
        <w:t>.</w:t>
      </w:r>
    </w:p>
    <w:p w:rsidR="002B3606" w:rsidRPr="002B3606" w:rsidRDefault="002B3606" w:rsidP="00820AE2">
      <w:pPr>
        <w:shd w:val="clear" w:color="auto" w:fill="FCFBFA"/>
        <w:spacing w:after="210" w:line="240" w:lineRule="auto"/>
        <w:rPr>
          <w:rFonts w:ascii="Segoe UI" w:eastAsia="Times New Roman" w:hAnsi="Segoe UI" w:cs="Segoe UI"/>
          <w:color w:val="FF0000"/>
          <w:sz w:val="27"/>
          <w:szCs w:val="27"/>
          <w:lang w:val="nl-NL" w:eastAsia="en-NL"/>
        </w:rPr>
      </w:pPr>
      <w:r w:rsidRPr="002B3606">
        <w:rPr>
          <w:rFonts w:ascii="Segoe UI" w:eastAsia="Times New Roman" w:hAnsi="Segoe UI" w:cs="Segoe UI"/>
          <w:color w:val="FF0000"/>
          <w:sz w:val="27"/>
          <w:szCs w:val="27"/>
          <w:lang w:val="nl-NL" w:eastAsia="en-NL"/>
        </w:rPr>
        <w:t xml:space="preserve">PS: let op: De naamgeving van de </w:t>
      </w:r>
      <w:proofErr w:type="spellStart"/>
      <w:r w:rsidRPr="002B3606">
        <w:rPr>
          <w:rFonts w:ascii="Segoe UI" w:eastAsia="Times New Roman" w:hAnsi="Segoe UI" w:cs="Segoe UI"/>
          <w:color w:val="FF0000"/>
          <w:sz w:val="27"/>
          <w:szCs w:val="27"/>
          <w:lang w:val="nl-NL" w:eastAsia="en-NL"/>
        </w:rPr>
        <w:t>VM’s</w:t>
      </w:r>
      <w:proofErr w:type="spellEnd"/>
      <w:r w:rsidRPr="002B3606">
        <w:rPr>
          <w:rFonts w:ascii="Segoe UI" w:eastAsia="Times New Roman" w:hAnsi="Segoe UI" w:cs="Segoe UI"/>
          <w:color w:val="FF0000"/>
          <w:sz w:val="27"/>
          <w:szCs w:val="27"/>
          <w:lang w:val="nl-NL" w:eastAsia="en-NL"/>
        </w:rPr>
        <w:t xml:space="preserve"> die in dit schema staan komen niet terug in OCI-pricing model !!!. Hebben we nog geen idee wat het kost. </w:t>
      </w:r>
      <w:r w:rsidRPr="002B3606">
        <w:rPr>
          <w:rFonts w:ascii="Segoe UI" w:eastAsia="Times New Roman" w:hAnsi="Segoe UI" w:cs="Segoe UI"/>
          <w:color w:val="FF0000"/>
          <w:sz w:val="27"/>
          <w:szCs w:val="27"/>
          <w:lang w:val="nl-NL" w:eastAsia="en-NL"/>
        </w:rPr>
        <w:br/>
        <w:t>en:</w:t>
      </w:r>
      <w:r w:rsidRPr="002B3606">
        <w:rPr>
          <w:rFonts w:ascii="Segoe UI" w:eastAsia="Times New Roman" w:hAnsi="Segoe UI" w:cs="Segoe UI"/>
          <w:color w:val="FF0000"/>
          <w:sz w:val="27"/>
          <w:szCs w:val="27"/>
          <w:lang w:val="nl-NL" w:eastAsia="en-NL"/>
        </w:rPr>
        <w:br/>
        <w:t xml:space="preserve">Betekent dit we toch met minimaal 4 CPU zitten, en daar licentiekosten voor </w:t>
      </w:r>
      <w:proofErr w:type="spellStart"/>
      <w:r w:rsidRPr="002B3606">
        <w:rPr>
          <w:rFonts w:ascii="Segoe UI" w:eastAsia="Times New Roman" w:hAnsi="Segoe UI" w:cs="Segoe UI"/>
          <w:color w:val="FF0000"/>
          <w:sz w:val="27"/>
          <w:szCs w:val="27"/>
          <w:lang w:val="nl-NL" w:eastAsia="en-NL"/>
        </w:rPr>
        <w:t>GoldenGate</w:t>
      </w:r>
      <w:proofErr w:type="spellEnd"/>
      <w:r w:rsidRPr="002B3606">
        <w:rPr>
          <w:rFonts w:ascii="Segoe UI" w:eastAsia="Times New Roman" w:hAnsi="Segoe UI" w:cs="Segoe UI"/>
          <w:color w:val="FF0000"/>
          <w:sz w:val="27"/>
          <w:szCs w:val="27"/>
          <w:lang w:val="nl-NL" w:eastAsia="en-NL"/>
        </w:rPr>
        <w:t xml:space="preserve"> over moeten betalen?</w:t>
      </w:r>
    </w:p>
    <w:p w:rsidR="002B3606" w:rsidRDefault="002B3606" w:rsidP="00820AE2">
      <w:pPr>
        <w:shd w:val="clear" w:color="auto" w:fill="FCFBFA"/>
        <w:spacing w:after="210" w:line="240" w:lineRule="auto"/>
        <w:rPr>
          <w:rFonts w:ascii="Segoe UI" w:eastAsia="Times New Roman" w:hAnsi="Segoe UI" w:cs="Segoe UI"/>
          <w:color w:val="1A1816"/>
          <w:sz w:val="27"/>
          <w:szCs w:val="27"/>
          <w:lang w:val="en-NL" w:eastAsia="en-NL"/>
        </w:rPr>
      </w:pPr>
      <w:bookmarkStart w:id="3" w:name="_GoBack"/>
      <w:bookmarkEnd w:id="3"/>
    </w:p>
    <w:p w:rsidR="00820AE2" w:rsidRPr="009C1F0B" w:rsidRDefault="00820AE2" w:rsidP="00820AE2">
      <w:pPr>
        <w:shd w:val="clear" w:color="auto" w:fill="FCFBFA"/>
        <w:spacing w:after="210" w:line="240" w:lineRule="auto"/>
        <w:rPr>
          <w:rFonts w:ascii="Segoe UI" w:eastAsia="Times New Roman" w:hAnsi="Segoe UI" w:cs="Segoe UI"/>
          <w:color w:val="1A1816"/>
          <w:sz w:val="27"/>
          <w:szCs w:val="27"/>
          <w:lang w:val="en-NL" w:eastAsia="en-NL"/>
        </w:rPr>
      </w:pPr>
      <w:r w:rsidRPr="009C1F0B">
        <w:rPr>
          <w:rFonts w:ascii="Segoe UI" w:eastAsia="Times New Roman" w:hAnsi="Segoe UI" w:cs="Segoe UI"/>
          <w:color w:val="1A1816"/>
          <w:sz w:val="27"/>
          <w:szCs w:val="27"/>
          <w:lang w:val="en-NL" w:eastAsia="en-NL"/>
        </w:rPr>
        <w:t>Block Storage</w:t>
      </w:r>
    </w:p>
    <w:p w:rsidR="00820AE2" w:rsidRPr="009C1F0B" w:rsidRDefault="00820AE2" w:rsidP="00820AE2">
      <w:pPr>
        <w:shd w:val="clear" w:color="auto" w:fill="FCFBFA"/>
        <w:spacing w:before="210" w:line="240" w:lineRule="auto"/>
        <w:rPr>
          <w:rFonts w:ascii="Segoe UI" w:eastAsia="Times New Roman" w:hAnsi="Segoe UI" w:cs="Segoe UI"/>
          <w:color w:val="1A1816"/>
          <w:sz w:val="24"/>
          <w:szCs w:val="24"/>
          <w:lang w:val="en-NL" w:eastAsia="en-NL"/>
        </w:rPr>
      </w:pPr>
      <w:r w:rsidRPr="009C1F0B">
        <w:rPr>
          <w:rFonts w:ascii="Segoe UI" w:eastAsia="Times New Roman" w:hAnsi="Segoe UI" w:cs="Segoe UI"/>
          <w:color w:val="1A1816"/>
          <w:sz w:val="24"/>
          <w:szCs w:val="24"/>
          <w:lang w:val="en-NL" w:eastAsia="en-NL"/>
        </w:rPr>
        <w:t xml:space="preserve">The following table provides details on the default block storage configuration used by Oracle </w:t>
      </w:r>
      <w:proofErr w:type="spellStart"/>
      <w:r w:rsidRPr="009C1F0B">
        <w:rPr>
          <w:rFonts w:ascii="Segoe UI" w:eastAsia="Times New Roman" w:hAnsi="Segoe UI" w:cs="Segoe UI"/>
          <w:color w:val="1A1816"/>
          <w:sz w:val="24"/>
          <w:szCs w:val="24"/>
          <w:lang w:val="en-NL" w:eastAsia="en-NL"/>
        </w:rPr>
        <w:t>GoldenGate</w:t>
      </w:r>
      <w:proofErr w:type="spellEnd"/>
      <w:r w:rsidRPr="009C1F0B">
        <w:rPr>
          <w:rFonts w:ascii="Segoe UI" w:eastAsia="Times New Roman" w:hAnsi="Segoe UI" w:cs="Segoe UI"/>
          <w:color w:val="1A1816"/>
          <w:sz w:val="24"/>
          <w:szCs w:val="24"/>
          <w:lang w:val="en-NL" w:eastAsia="en-NL"/>
        </w:rPr>
        <w:t xml:space="preserve"> on Oracle Cloud Marketplace.</w:t>
      </w:r>
    </w:p>
    <w:tbl>
      <w:tblPr>
        <w:tblW w:w="4828" w:type="dxa"/>
        <w:tblBorders>
          <w:top w:val="single" w:sz="12" w:space="0" w:color="ECEAE5"/>
          <w:left w:val="single" w:sz="12" w:space="0" w:color="ECEAE5"/>
          <w:bottom w:val="single" w:sz="12" w:space="0" w:color="ECEAE5"/>
          <w:right w:val="single" w:sz="12" w:space="0" w:color="ECEAE5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Caption w:val=""/>
        <w:tblDescription w:val="This table provides details on the default block storage."/>
      </w:tblPr>
      <w:tblGrid>
        <w:gridCol w:w="1709"/>
        <w:gridCol w:w="1561"/>
        <w:gridCol w:w="1558"/>
      </w:tblGrid>
      <w:tr w:rsidR="00820AE2" w:rsidRPr="009C1F0B" w:rsidTr="007955B0">
        <w:trPr>
          <w:trHeight w:val="570"/>
          <w:tblHeader/>
        </w:trPr>
        <w:tc>
          <w:tcPr>
            <w:tcW w:w="177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820AE2" w:rsidRPr="009C1F0B" w:rsidRDefault="00820AE2" w:rsidP="007955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A1816"/>
                <w:sz w:val="21"/>
                <w:szCs w:val="21"/>
                <w:lang w:val="en-NL" w:eastAsia="en-NL"/>
              </w:rPr>
            </w:pPr>
            <w:r w:rsidRPr="009C1F0B">
              <w:rPr>
                <w:rFonts w:ascii="Times New Roman" w:eastAsia="Times New Roman" w:hAnsi="Times New Roman" w:cs="Times New Roman"/>
                <w:b/>
                <w:bCs/>
                <w:color w:val="1A1816"/>
                <w:sz w:val="21"/>
                <w:szCs w:val="21"/>
                <w:lang w:val="en-NL" w:eastAsia="en-NL"/>
              </w:rPr>
              <w:t>Volume</w:t>
            </w:r>
          </w:p>
        </w:tc>
        <w:tc>
          <w:tcPr>
            <w:tcW w:w="1617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820AE2" w:rsidRPr="009C1F0B" w:rsidRDefault="00820AE2" w:rsidP="007955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A1816"/>
                <w:sz w:val="21"/>
                <w:szCs w:val="21"/>
                <w:lang w:val="en-NL" w:eastAsia="en-NL"/>
              </w:rPr>
            </w:pPr>
            <w:r w:rsidRPr="009C1F0B">
              <w:rPr>
                <w:rFonts w:ascii="Times New Roman" w:eastAsia="Times New Roman" w:hAnsi="Times New Roman" w:cs="Times New Roman"/>
                <w:b/>
                <w:bCs/>
                <w:color w:val="1A1816"/>
                <w:sz w:val="21"/>
                <w:szCs w:val="21"/>
                <w:lang w:val="en-NL" w:eastAsia="en-NL"/>
              </w:rPr>
              <w:t>Default Size</w:t>
            </w:r>
          </w:p>
        </w:tc>
        <w:tc>
          <w:tcPr>
            <w:tcW w:w="1614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820AE2" w:rsidRPr="009C1F0B" w:rsidRDefault="00820AE2" w:rsidP="007955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A1816"/>
                <w:sz w:val="21"/>
                <w:szCs w:val="21"/>
                <w:lang w:val="en-NL" w:eastAsia="en-NL"/>
              </w:rPr>
            </w:pPr>
            <w:r w:rsidRPr="009C1F0B">
              <w:rPr>
                <w:rFonts w:ascii="Times New Roman" w:eastAsia="Times New Roman" w:hAnsi="Times New Roman" w:cs="Times New Roman"/>
                <w:b/>
                <w:bCs/>
                <w:color w:val="1A1816"/>
                <w:sz w:val="21"/>
                <w:szCs w:val="21"/>
                <w:lang w:val="en-NL" w:eastAsia="en-NL"/>
              </w:rPr>
              <w:t>Configurable</w:t>
            </w:r>
          </w:p>
        </w:tc>
      </w:tr>
      <w:tr w:rsidR="00820AE2" w:rsidRPr="009C1F0B" w:rsidTr="007955B0">
        <w:tc>
          <w:tcPr>
            <w:tcW w:w="177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20AE2" w:rsidRPr="009C1F0B" w:rsidRDefault="00820AE2" w:rsidP="007955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sz w:val="21"/>
                <w:szCs w:val="21"/>
                <w:lang w:val="en-NL" w:eastAsia="en-NL"/>
              </w:rPr>
            </w:pPr>
            <w:r w:rsidRPr="009C1F0B">
              <w:rPr>
                <w:rFonts w:ascii="Times New Roman" w:eastAsia="Times New Roman" w:hAnsi="Times New Roman" w:cs="Times New Roman"/>
                <w:color w:val="1A1816"/>
                <w:sz w:val="21"/>
                <w:szCs w:val="21"/>
                <w:lang w:val="en-NL" w:eastAsia="en-NL"/>
              </w:rPr>
              <w:t>Boot</w:t>
            </w:r>
          </w:p>
        </w:tc>
        <w:tc>
          <w:tcPr>
            <w:tcW w:w="1617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20AE2" w:rsidRPr="009C1F0B" w:rsidRDefault="00820AE2" w:rsidP="007955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sz w:val="21"/>
                <w:szCs w:val="21"/>
                <w:lang w:val="en-NL" w:eastAsia="en-NL"/>
              </w:rPr>
            </w:pPr>
            <w:r w:rsidRPr="009C1F0B">
              <w:rPr>
                <w:rFonts w:ascii="Times New Roman" w:eastAsia="Times New Roman" w:hAnsi="Times New Roman" w:cs="Times New Roman"/>
                <w:color w:val="1A1816"/>
                <w:sz w:val="21"/>
                <w:szCs w:val="21"/>
                <w:lang w:val="en-NL" w:eastAsia="en-NL"/>
              </w:rPr>
              <w:t>50GB</w:t>
            </w:r>
          </w:p>
        </w:tc>
        <w:tc>
          <w:tcPr>
            <w:tcW w:w="1614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20AE2" w:rsidRPr="009C1F0B" w:rsidRDefault="00820AE2" w:rsidP="007955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sz w:val="21"/>
                <w:szCs w:val="21"/>
                <w:lang w:val="en-NL" w:eastAsia="en-NL"/>
              </w:rPr>
            </w:pPr>
            <w:r w:rsidRPr="009C1F0B">
              <w:rPr>
                <w:rFonts w:ascii="Times New Roman" w:eastAsia="Times New Roman" w:hAnsi="Times New Roman" w:cs="Times New Roman"/>
                <w:color w:val="1A1816"/>
                <w:sz w:val="21"/>
                <w:szCs w:val="21"/>
                <w:lang w:val="en-NL" w:eastAsia="en-NL"/>
              </w:rPr>
              <w:t>Yes</w:t>
            </w:r>
          </w:p>
        </w:tc>
      </w:tr>
      <w:tr w:rsidR="00820AE2" w:rsidRPr="009C1F0B" w:rsidTr="007955B0">
        <w:tc>
          <w:tcPr>
            <w:tcW w:w="177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20AE2" w:rsidRPr="009C1F0B" w:rsidRDefault="00820AE2" w:rsidP="007955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sz w:val="21"/>
                <w:szCs w:val="21"/>
                <w:lang w:val="en-NL" w:eastAsia="en-NL"/>
              </w:rPr>
            </w:pPr>
            <w:r w:rsidRPr="009C1F0B">
              <w:rPr>
                <w:rFonts w:ascii="Times New Roman" w:eastAsia="Times New Roman" w:hAnsi="Times New Roman" w:cs="Times New Roman"/>
                <w:color w:val="1A1816"/>
                <w:sz w:val="21"/>
                <w:szCs w:val="21"/>
                <w:lang w:val="en-NL" w:eastAsia="en-NL"/>
              </w:rPr>
              <w:t>Swap</w:t>
            </w:r>
          </w:p>
        </w:tc>
        <w:tc>
          <w:tcPr>
            <w:tcW w:w="1617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20AE2" w:rsidRPr="009C1F0B" w:rsidRDefault="00820AE2" w:rsidP="007955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sz w:val="21"/>
                <w:szCs w:val="21"/>
                <w:lang w:val="en-NL" w:eastAsia="en-NL"/>
              </w:rPr>
            </w:pPr>
            <w:r w:rsidRPr="009C1F0B">
              <w:rPr>
                <w:rFonts w:ascii="Times New Roman" w:eastAsia="Times New Roman" w:hAnsi="Times New Roman" w:cs="Times New Roman"/>
                <w:color w:val="1A1816"/>
                <w:sz w:val="21"/>
                <w:szCs w:val="21"/>
                <w:lang w:val="en-NL" w:eastAsia="en-NL"/>
              </w:rPr>
              <w:t>256GB</w:t>
            </w:r>
          </w:p>
        </w:tc>
        <w:tc>
          <w:tcPr>
            <w:tcW w:w="1614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20AE2" w:rsidRPr="009C1F0B" w:rsidRDefault="00820AE2" w:rsidP="007955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sz w:val="21"/>
                <w:szCs w:val="21"/>
                <w:lang w:val="en-NL" w:eastAsia="en-NL"/>
              </w:rPr>
            </w:pPr>
            <w:r w:rsidRPr="009C1F0B">
              <w:rPr>
                <w:rFonts w:ascii="Times New Roman" w:eastAsia="Times New Roman" w:hAnsi="Times New Roman" w:cs="Times New Roman"/>
                <w:color w:val="1A1816"/>
                <w:sz w:val="21"/>
                <w:szCs w:val="21"/>
                <w:lang w:val="en-NL" w:eastAsia="en-NL"/>
              </w:rPr>
              <w:t>Yes</w:t>
            </w:r>
          </w:p>
        </w:tc>
      </w:tr>
      <w:tr w:rsidR="00820AE2" w:rsidRPr="009C1F0B" w:rsidTr="007955B0">
        <w:tc>
          <w:tcPr>
            <w:tcW w:w="177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20AE2" w:rsidRPr="009C1F0B" w:rsidRDefault="00820AE2" w:rsidP="007955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sz w:val="21"/>
                <w:szCs w:val="21"/>
                <w:lang w:val="en-NL" w:eastAsia="en-NL"/>
              </w:rPr>
            </w:pPr>
            <w:r w:rsidRPr="009C1F0B">
              <w:rPr>
                <w:rFonts w:ascii="Times New Roman" w:eastAsia="Times New Roman" w:hAnsi="Times New Roman" w:cs="Times New Roman"/>
                <w:color w:val="1A1816"/>
                <w:sz w:val="21"/>
                <w:szCs w:val="21"/>
                <w:lang w:val="en-NL" w:eastAsia="en-NL"/>
              </w:rPr>
              <w:t>Trail</w:t>
            </w:r>
          </w:p>
        </w:tc>
        <w:tc>
          <w:tcPr>
            <w:tcW w:w="1617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20AE2" w:rsidRPr="009C1F0B" w:rsidRDefault="00820AE2" w:rsidP="007955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sz w:val="21"/>
                <w:szCs w:val="21"/>
                <w:lang w:val="en-NL" w:eastAsia="en-NL"/>
              </w:rPr>
            </w:pPr>
            <w:r w:rsidRPr="009C1F0B">
              <w:rPr>
                <w:rFonts w:ascii="Times New Roman" w:eastAsia="Times New Roman" w:hAnsi="Times New Roman" w:cs="Times New Roman"/>
                <w:color w:val="1A1816"/>
                <w:sz w:val="21"/>
                <w:szCs w:val="21"/>
                <w:lang w:val="en-NL" w:eastAsia="en-NL"/>
              </w:rPr>
              <w:t>512GB</w:t>
            </w:r>
          </w:p>
        </w:tc>
        <w:tc>
          <w:tcPr>
            <w:tcW w:w="1614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20AE2" w:rsidRPr="009C1F0B" w:rsidRDefault="00820AE2" w:rsidP="007955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sz w:val="21"/>
                <w:szCs w:val="21"/>
                <w:lang w:val="en-NL" w:eastAsia="en-NL"/>
              </w:rPr>
            </w:pPr>
            <w:r w:rsidRPr="009C1F0B">
              <w:rPr>
                <w:rFonts w:ascii="Times New Roman" w:eastAsia="Times New Roman" w:hAnsi="Times New Roman" w:cs="Times New Roman"/>
                <w:color w:val="1A1816"/>
                <w:sz w:val="21"/>
                <w:szCs w:val="21"/>
                <w:lang w:val="en-NL" w:eastAsia="en-NL"/>
              </w:rPr>
              <w:t>Yes</w:t>
            </w:r>
          </w:p>
        </w:tc>
      </w:tr>
      <w:tr w:rsidR="00820AE2" w:rsidRPr="009C1F0B" w:rsidTr="007955B0">
        <w:tc>
          <w:tcPr>
            <w:tcW w:w="177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20AE2" w:rsidRPr="009C1F0B" w:rsidRDefault="00820AE2" w:rsidP="007955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sz w:val="21"/>
                <w:szCs w:val="21"/>
                <w:lang w:val="en-NL" w:eastAsia="en-NL"/>
              </w:rPr>
            </w:pPr>
            <w:r w:rsidRPr="009C1F0B">
              <w:rPr>
                <w:rFonts w:ascii="Times New Roman" w:eastAsia="Times New Roman" w:hAnsi="Times New Roman" w:cs="Times New Roman"/>
                <w:color w:val="1A1816"/>
                <w:sz w:val="21"/>
                <w:szCs w:val="21"/>
                <w:lang w:val="en-NL" w:eastAsia="en-NL"/>
              </w:rPr>
              <w:t>Deployments</w:t>
            </w:r>
          </w:p>
        </w:tc>
        <w:tc>
          <w:tcPr>
            <w:tcW w:w="1617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20AE2" w:rsidRPr="009C1F0B" w:rsidRDefault="00820AE2" w:rsidP="007955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sz w:val="21"/>
                <w:szCs w:val="21"/>
                <w:lang w:val="en-NL" w:eastAsia="en-NL"/>
              </w:rPr>
            </w:pPr>
            <w:r w:rsidRPr="009C1F0B">
              <w:rPr>
                <w:rFonts w:ascii="Times New Roman" w:eastAsia="Times New Roman" w:hAnsi="Times New Roman" w:cs="Times New Roman"/>
                <w:color w:val="1A1816"/>
                <w:sz w:val="21"/>
                <w:szCs w:val="21"/>
                <w:lang w:val="en-NL" w:eastAsia="en-NL"/>
              </w:rPr>
              <w:t>128GB</w:t>
            </w:r>
          </w:p>
        </w:tc>
        <w:tc>
          <w:tcPr>
            <w:tcW w:w="1614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20AE2" w:rsidRPr="009C1F0B" w:rsidRDefault="00820AE2" w:rsidP="007955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sz w:val="21"/>
                <w:szCs w:val="21"/>
                <w:lang w:val="en-NL" w:eastAsia="en-NL"/>
              </w:rPr>
            </w:pPr>
            <w:r w:rsidRPr="009C1F0B">
              <w:rPr>
                <w:rFonts w:ascii="Times New Roman" w:eastAsia="Times New Roman" w:hAnsi="Times New Roman" w:cs="Times New Roman"/>
                <w:color w:val="1A1816"/>
                <w:sz w:val="21"/>
                <w:szCs w:val="21"/>
                <w:lang w:val="en-NL" w:eastAsia="en-NL"/>
              </w:rPr>
              <w:t>Yes</w:t>
            </w:r>
          </w:p>
        </w:tc>
      </w:tr>
      <w:tr w:rsidR="00820AE2" w:rsidRPr="009C1F0B" w:rsidTr="007955B0">
        <w:tc>
          <w:tcPr>
            <w:tcW w:w="177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20AE2" w:rsidRPr="009C1F0B" w:rsidRDefault="00820AE2" w:rsidP="007955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sz w:val="21"/>
                <w:szCs w:val="21"/>
                <w:lang w:val="en-NL" w:eastAsia="en-NL"/>
              </w:rPr>
            </w:pPr>
            <w:r w:rsidRPr="009C1F0B">
              <w:rPr>
                <w:rFonts w:ascii="Times New Roman" w:eastAsia="Times New Roman" w:hAnsi="Times New Roman" w:cs="Times New Roman"/>
                <w:color w:val="1A1816"/>
                <w:sz w:val="21"/>
                <w:szCs w:val="21"/>
                <w:lang w:val="en-NL" w:eastAsia="en-NL"/>
              </w:rPr>
              <w:t>Cache Manager</w:t>
            </w:r>
          </w:p>
        </w:tc>
        <w:tc>
          <w:tcPr>
            <w:tcW w:w="1617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20AE2" w:rsidRPr="009C1F0B" w:rsidRDefault="00820AE2" w:rsidP="007955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sz w:val="21"/>
                <w:szCs w:val="21"/>
                <w:lang w:val="en-NL" w:eastAsia="en-NL"/>
              </w:rPr>
            </w:pPr>
            <w:r w:rsidRPr="009C1F0B">
              <w:rPr>
                <w:rFonts w:ascii="Times New Roman" w:eastAsia="Times New Roman" w:hAnsi="Times New Roman" w:cs="Times New Roman"/>
                <w:color w:val="1A1816"/>
                <w:sz w:val="21"/>
                <w:szCs w:val="21"/>
                <w:lang w:val="en-NL" w:eastAsia="en-NL"/>
              </w:rPr>
              <w:t>128GB</w:t>
            </w:r>
          </w:p>
        </w:tc>
        <w:tc>
          <w:tcPr>
            <w:tcW w:w="1614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20AE2" w:rsidRPr="009C1F0B" w:rsidRDefault="00820AE2" w:rsidP="007955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sz w:val="21"/>
                <w:szCs w:val="21"/>
                <w:lang w:val="en-NL" w:eastAsia="en-NL"/>
              </w:rPr>
            </w:pPr>
            <w:r w:rsidRPr="009C1F0B">
              <w:rPr>
                <w:rFonts w:ascii="Times New Roman" w:eastAsia="Times New Roman" w:hAnsi="Times New Roman" w:cs="Times New Roman"/>
                <w:color w:val="1A1816"/>
                <w:sz w:val="21"/>
                <w:szCs w:val="21"/>
                <w:lang w:val="en-NL" w:eastAsia="en-NL"/>
              </w:rPr>
              <w:t>Yes</w:t>
            </w:r>
          </w:p>
        </w:tc>
      </w:tr>
    </w:tbl>
    <w:p w:rsidR="00820AE2" w:rsidRPr="009C1F0B" w:rsidRDefault="00820AE2" w:rsidP="00820AE2">
      <w:pPr>
        <w:shd w:val="clear" w:color="auto" w:fill="FCFBFA"/>
        <w:spacing w:before="210" w:line="240" w:lineRule="auto"/>
        <w:rPr>
          <w:rFonts w:ascii="Segoe UI" w:eastAsia="Times New Roman" w:hAnsi="Segoe UI" w:cs="Segoe UI"/>
          <w:color w:val="1A1816"/>
          <w:sz w:val="24"/>
          <w:szCs w:val="24"/>
          <w:lang w:val="en-NL" w:eastAsia="en-NL"/>
        </w:rPr>
      </w:pPr>
      <w:r w:rsidRPr="009C1F0B">
        <w:rPr>
          <w:rFonts w:ascii="Segoe UI" w:eastAsia="Times New Roman" w:hAnsi="Segoe UI" w:cs="Segoe UI"/>
          <w:color w:val="1A1816"/>
          <w:sz w:val="24"/>
          <w:szCs w:val="24"/>
          <w:lang w:val="en-NL" w:eastAsia="en-NL"/>
        </w:rPr>
        <w:t>For pricing details on block storage, please refer to </w:t>
      </w:r>
      <w:hyperlink r:id="rId6" w:tgtFrame="_blank" w:history="1">
        <w:r w:rsidRPr="009C1F0B">
          <w:rPr>
            <w:rFonts w:ascii="Segoe UI" w:eastAsia="Times New Roman" w:hAnsi="Segoe UI" w:cs="Segoe UI"/>
            <w:color w:val="00688C"/>
            <w:sz w:val="24"/>
            <w:szCs w:val="24"/>
            <w:u w:val="single"/>
            <w:lang w:val="en-NL" w:eastAsia="en-NL"/>
          </w:rPr>
          <w:t>Oracle Storage Cloud Pricing</w:t>
        </w:r>
      </w:hyperlink>
      <w:r w:rsidRPr="009C1F0B">
        <w:rPr>
          <w:rFonts w:ascii="Segoe UI" w:eastAsia="Times New Roman" w:hAnsi="Segoe UI" w:cs="Segoe UI"/>
          <w:color w:val="1A1816"/>
          <w:sz w:val="24"/>
          <w:szCs w:val="24"/>
          <w:lang w:val="en-NL" w:eastAsia="en-NL"/>
        </w:rPr>
        <w:t>.</w:t>
      </w:r>
    </w:p>
    <w:p w:rsidR="00820AE2" w:rsidRDefault="00820AE2" w:rsidP="00820AE2">
      <w:pPr>
        <w:rPr>
          <w:lang w:val="en-NL"/>
        </w:rPr>
      </w:pPr>
    </w:p>
    <w:p w:rsidR="00115B05" w:rsidRPr="00820AE2" w:rsidRDefault="00115B05">
      <w:pPr>
        <w:rPr>
          <w:lang w:val="en-NL"/>
        </w:rPr>
      </w:pPr>
    </w:p>
    <w:sectPr w:rsidR="00115B05" w:rsidRPr="00820A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AE2"/>
    <w:rsid w:val="00115B05"/>
    <w:rsid w:val="002B3606"/>
    <w:rsid w:val="0082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9A0505"/>
  <w15:chartTrackingRefBased/>
  <w15:docId w15:val="{0FB50D77-8BF3-45EC-86D1-33753471C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20AE2"/>
  </w:style>
  <w:style w:type="paragraph" w:styleId="Kop2">
    <w:name w:val="heading 2"/>
    <w:basedOn w:val="Standaard"/>
    <w:link w:val="Kop2Char"/>
    <w:uiPriority w:val="9"/>
    <w:qFormat/>
    <w:rsid w:val="00820A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NL" w:eastAsia="en-NL"/>
    </w:rPr>
  </w:style>
  <w:style w:type="paragraph" w:styleId="Kop3">
    <w:name w:val="heading 3"/>
    <w:basedOn w:val="Standaard"/>
    <w:link w:val="Kop3Char"/>
    <w:uiPriority w:val="9"/>
    <w:qFormat/>
    <w:rsid w:val="00820A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NL" w:eastAsia="en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820AE2"/>
    <w:rPr>
      <w:rFonts w:ascii="Times New Roman" w:eastAsia="Times New Roman" w:hAnsi="Times New Roman" w:cs="Times New Roman"/>
      <w:b/>
      <w:bCs/>
      <w:sz w:val="36"/>
      <w:szCs w:val="36"/>
      <w:lang w:val="en-NL" w:eastAsia="en-NL"/>
    </w:rPr>
  </w:style>
  <w:style w:type="character" w:customStyle="1" w:styleId="Kop3Char">
    <w:name w:val="Kop 3 Char"/>
    <w:basedOn w:val="Standaardalinea-lettertype"/>
    <w:link w:val="Kop3"/>
    <w:uiPriority w:val="9"/>
    <w:rsid w:val="00820AE2"/>
    <w:rPr>
      <w:rFonts w:ascii="Times New Roman" w:eastAsia="Times New Roman" w:hAnsi="Times New Roman" w:cs="Times New Roman"/>
      <w:b/>
      <w:bCs/>
      <w:sz w:val="27"/>
      <w:szCs w:val="27"/>
      <w:lang w:val="en-NL" w:eastAsia="en-NL"/>
    </w:rPr>
  </w:style>
  <w:style w:type="character" w:customStyle="1" w:styleId="enumerationsection">
    <w:name w:val="enumeration_section"/>
    <w:basedOn w:val="Standaardalinea-lettertype"/>
    <w:rsid w:val="00820AE2"/>
  </w:style>
  <w:style w:type="paragraph" w:styleId="Normaalweb">
    <w:name w:val="Normal (Web)"/>
    <w:basedOn w:val="Standaard"/>
    <w:uiPriority w:val="99"/>
    <w:semiHidden/>
    <w:unhideWhenUsed/>
    <w:rsid w:val="00820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 w:eastAsia="en-NL"/>
    </w:rPr>
  </w:style>
  <w:style w:type="character" w:styleId="Hyperlink">
    <w:name w:val="Hyperlink"/>
    <w:basedOn w:val="Standaardalinea-lettertype"/>
    <w:uiPriority w:val="99"/>
    <w:unhideWhenUsed/>
    <w:rsid w:val="002B3606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B36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racle.com/cloud/storage/pricing.html" TargetMode="External"/><Relationship Id="rId5" Type="http://schemas.openxmlformats.org/officeDocument/2006/relationships/hyperlink" Target="https://www.oracle.com/cloud/compute/pricing.html" TargetMode="External"/><Relationship Id="rId4" Type="http://schemas.openxmlformats.org/officeDocument/2006/relationships/hyperlink" Target="https://docs.oracle.com/en/middleware/goldengate/core/19.1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2</cp:revision>
  <dcterms:created xsi:type="dcterms:W3CDTF">2021-01-18T09:07:00Z</dcterms:created>
  <dcterms:modified xsi:type="dcterms:W3CDTF">2021-01-18T09:25:00Z</dcterms:modified>
</cp:coreProperties>
</file>