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 – II</w:t>
      </w:r>
    </w:p>
    <w:p w:rsidR="00000000" w:rsidDel="00000000" w:rsidP="00000000" w:rsidRDefault="00000000" w:rsidRPr="00000000" w14:paraId="00000002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85.0" w:type="dxa"/>
        <w:jc w:val="center"/>
        <w:tblLayout w:type="fixed"/>
        <w:tblLook w:val="0400"/>
      </w:tblPr>
      <w:tblGrid>
        <w:gridCol w:w="1862"/>
        <w:gridCol w:w="9023"/>
        <w:tblGridChange w:id="0">
          <w:tblGrid>
            <w:gridCol w:w="1862"/>
            <w:gridCol w:w="90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SWTID-2026-9161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EduGenie Learning Assistant follows a modular three-layer architecture consisting of the </w:t>
      </w:r>
      <w:r w:rsidDel="00000000" w:rsidR="00000000" w:rsidRPr="00000000">
        <w:rPr>
          <w:b w:val="1"/>
          <w:bCs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Application Layer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b w:val="1"/>
          <w:bCs w:val="1"/>
          <w:rtl w:val="0"/>
        </w:rPr>
        <w:t xml:space="preserve">AI &amp; Data Layer</w:t>
      </w:r>
      <w:r w:rsidDel="00000000" w:rsidR="00000000" w:rsidRPr="00000000">
        <w:rPr>
          <w:rtl w:val="0"/>
        </w:rPr>
        <w:t xml:space="preserve">. This architecture ensures scalability, maintainability, and efficient communication between the frontend, backend, AI models, and database.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Flow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943600" cy="3244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1: Components &amp; Technologies</w:t>
      </w:r>
    </w:p>
    <w:tbl>
      <w:tblPr>
        <w:tblStyle w:val="Table2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20"/>
        <w:gridCol w:w="2134"/>
        <w:gridCol w:w="4486"/>
        <w:gridCol w:w="2214"/>
        <w:tblGridChange w:id="0">
          <w:tblGrid>
            <w:gridCol w:w="520"/>
            <w:gridCol w:w="2134"/>
            <w:gridCol w:w="4486"/>
            <w:gridCol w:w="22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Web interface for students and educators to interact with EduGenie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HTML5, CSS3, Jinja2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 –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Handles Question Answering functionality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Python, FastAPI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 –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Handles Concept Explanation using lightweight local AI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Python, LaMini-Flan-T5-783M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 –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Handles Quiz Generation, Summarization, and Learning Recommendations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1.5 Pro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Stores users, queries, AI responses, quizzes, summaries, and learning paths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SQLite /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Cloud AI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Cloud-based Generative AI 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Stores project files, templates, static resources, and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Local File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External API –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AI-powered educational content 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External API –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Environment variable management and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Python Dotenv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Generates educational explanations using a lightweight transformer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LaMini-Flan-T5-783M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Local application deployment and API hosting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Uvicorn ASGI Server, Local System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2: Application Characteristics</w:t>
      </w:r>
    </w:p>
    <w:tbl>
      <w:tblPr>
        <w:tblStyle w:val="Table3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20"/>
        <w:gridCol w:w="1942"/>
        <w:gridCol w:w="3841"/>
        <w:gridCol w:w="3051"/>
        <w:tblGridChange w:id="0">
          <w:tblGrid>
            <w:gridCol w:w="520"/>
            <w:gridCol w:w="1942"/>
            <w:gridCol w:w="3841"/>
            <w:gridCol w:w="30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Frameworks used to build the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FastAPI, Python, Jinja2, SQLAlchemy, HTML5, CSS3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Protects API keys and user credentials using environment variables and secure coding practices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Python Dotenv, Password Hashing, HTTPS (deployment), Input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Modular architecture with separate AI modules and REST APIs allowing future expansion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FastAPI Modular Architecture, REST APIs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Application is accessible whenever the FastAPI server is running locally or deployed on a cloud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Uvicorn, FastAPI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Fast request processing with asynchronous APIs and lightweight local AI model for explanations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FastAPI (Async), Uvicorn, Google Gemini API, LaMini-Flan-T5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Stack Summary</w:t>
      </w:r>
    </w:p>
    <w:tbl>
      <w:tblPr>
        <w:tblStyle w:val="Table4"/>
        <w:tblW w:w="92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667"/>
        <w:gridCol w:w="6600"/>
        <w:tblGridChange w:id="0">
          <w:tblGrid>
            <w:gridCol w:w="2667"/>
            <w:gridCol w:w="6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Used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Python 3.10+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Backend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HTML5, CSS3, Jinja2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AI Model (Cloud)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1.5 Pro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AI Model (Local)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LaMini-Flan-T5-783M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SQLite /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SQLAlchemy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API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Uvicorn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Environment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Python Dotenv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Git &amp; 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 / PyCharm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Windows, Linux, macOS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the Selected Technology Stack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FastAPI provides high-performance REST APIs with automatic documentation.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Google Gemini 1.5 Pro delivers accurate and context-aware responses for educational tasks.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LaMini-Flan-T5 enables lightweight, offline-friendly concept explanations.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HTML, CSS, and Jinja2 create a responsive and user-friendly interface.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SQLAlchemy simplifies database operations and supports multiple relational databases.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SQLite allows easy local development, while PostgreSQL supports scalable deployment.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Uvicorn offers fast ASGI-based application hosting with auto-reload during development.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modular architecture makes the system easy to maintain, test, and extend with new AI-powered educational features.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EduGenie Learning Assistant uses a modern and scalable technology stack that integrates 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Google Gemini 1.5 Pro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LaMini-Flan-T5-783M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SQLite/PostgreSQL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b w:val="1"/>
          <w:bCs w:val="1"/>
          <w:rtl w:val="0"/>
        </w:rPr>
        <w:t xml:space="preserve">Jinja2</w:t>
      </w:r>
      <w:r w:rsidDel="00000000" w:rsidR="00000000" w:rsidRPr="00000000">
        <w:rPr>
          <w:rtl w:val="0"/>
        </w:rPr>
        <w:t xml:space="preserve">. This architecture ensures efficient frontend-backend communication, intelligent AI-powered educational assistance, secure data management, and flexibility for future enhancements such as multilingual support, mobile applications, learning analytics, and cloud deployment.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