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2880" w:firstLine="0"/>
        <w:rPr>
          <w:b w:val="1"/>
          <w:bCs w:val="1"/>
        </w:rPr>
      </w:pPr>
      <w:r w:rsidDel="00000000" w:rsidR="00000000" w:rsidRPr="00000000">
        <w:rPr>
          <w:b w:val="1"/>
          <w:bCs w:val="1"/>
          <w:rtl w:val="0"/>
        </w:rPr>
        <w:t xml:space="preserve">Project Design Phase</w:t>
      </w:r>
    </w:p>
    <w:p w:rsidR="00000000" w:rsidDel="00000000" w:rsidP="00000000" w:rsidRDefault="00000000" w:rsidRPr="00000000" w14:paraId="00000002">
      <w:pPr>
        <w:ind w:left="2880" w:firstLine="0"/>
        <w:rPr>
          <w:b w:val="1"/>
          <w:bCs w:val="1"/>
        </w:rPr>
      </w:pPr>
      <w:r w:rsidDel="00000000" w:rsidR="00000000" w:rsidRPr="00000000">
        <w:rPr>
          <w:b w:val="1"/>
          <w:bCs w:val="1"/>
          <w:rtl w:val="0"/>
        </w:rPr>
        <w:t xml:space="preserve">Proposed Solution Template</w:t>
      </w:r>
    </w:p>
    <w:tbl>
      <w:tblPr>
        <w:tblStyle w:val="Table1"/>
        <w:tblW w:w="9535.0" w:type="dxa"/>
        <w:jc w:val="left"/>
        <w:tblLayout w:type="fixed"/>
        <w:tblLook w:val="0400"/>
      </w:tblPr>
      <w:tblGrid>
        <w:gridCol w:w="1908"/>
        <w:gridCol w:w="7627"/>
        <w:tblGridChange w:id="0">
          <w:tblGrid>
            <w:gridCol w:w="1908"/>
            <w:gridCol w:w="7627"/>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3">
            <w:pPr>
              <w:rPr>
                <w:b w:val="1"/>
                <w:bCs w:val="1"/>
              </w:rPr>
            </w:pPr>
            <w:r w:rsidDel="00000000" w:rsidR="00000000" w:rsidRPr="00000000">
              <w:rPr>
                <w:b w:val="1"/>
                <w:bCs w:val="1"/>
                <w:rtl w:val="0"/>
              </w:rPr>
              <w:t xml:space="preserve">Date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4">
            <w:pPr>
              <w:rPr>
                <w:b w:val="1"/>
                <w:bCs w:val="1"/>
              </w:rPr>
            </w:pPr>
            <w:r w:rsidDel="00000000" w:rsidR="00000000" w:rsidRPr="00000000">
              <w:rPr>
                <w:b w:val="1"/>
                <w:bCs w:val="1"/>
                <w:rtl w:val="0"/>
              </w:rPr>
              <w:t xml:space="preserve">14/7/2026</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5">
            <w:pPr>
              <w:rPr>
                <w:b w:val="1"/>
                <w:bCs w:val="1"/>
              </w:rPr>
            </w:pPr>
            <w:r w:rsidDel="00000000" w:rsidR="00000000" w:rsidRPr="00000000">
              <w:rPr>
                <w:b w:val="1"/>
                <w:bCs w:val="1"/>
                <w:rtl w:val="0"/>
              </w:rPr>
              <w:t xml:space="preserve">Team ID</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6">
            <w:pPr>
              <w:rPr>
                <w:b w:val="1"/>
                <w:bCs w:val="1"/>
              </w:rPr>
            </w:pPr>
            <w:r w:rsidDel="00000000" w:rsidR="00000000" w:rsidRPr="00000000">
              <w:rPr>
                <w:b w:val="1"/>
                <w:bCs w:val="1"/>
                <w:rtl w:val="0"/>
              </w:rPr>
              <w:t xml:space="preserve">SWTID-2026-9161</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7">
            <w:pPr>
              <w:rPr>
                <w:b w:val="1"/>
                <w:bCs w:val="1"/>
              </w:rPr>
            </w:pPr>
            <w:r w:rsidDel="00000000" w:rsidR="00000000" w:rsidRPr="00000000">
              <w:rPr>
                <w:b w:val="1"/>
                <w:bCs w:val="1"/>
                <w:rtl w:val="0"/>
              </w:rPr>
              <w:t xml:space="preserve">Project Name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8">
            <w:pPr>
              <w:rPr>
                <w:b w:val="1"/>
                <w:bCs w:val="1"/>
              </w:rPr>
            </w:pPr>
            <w:r w:rsidDel="00000000" w:rsidR="00000000" w:rsidRPr="00000000">
              <w:rPr>
                <w:b w:val="1"/>
                <w:bCs w:val="1"/>
                <w:rtl w:val="0"/>
              </w:rPr>
              <w:t xml:space="preserve">EduGenie – Google Gemini Powered Learning Assistant</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9">
            <w:pPr>
              <w:rPr>
                <w:b w:val="1"/>
                <w:bCs w:val="1"/>
              </w:rPr>
            </w:pPr>
            <w:r w:rsidDel="00000000" w:rsidR="00000000" w:rsidRPr="00000000">
              <w:rPr>
                <w:b w:val="1"/>
                <w:bCs w:val="1"/>
                <w:rtl w:val="0"/>
              </w:rPr>
              <w:t xml:space="preserve">Maximum Marks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A">
            <w:pPr>
              <w:rPr>
                <w:b w:val="1"/>
                <w:bCs w:val="1"/>
              </w:rPr>
            </w:pPr>
            <w:r w:rsidDel="00000000" w:rsidR="00000000" w:rsidRPr="00000000">
              <w:rPr>
                <w:rtl w:val="0"/>
              </w:rPr>
            </w:r>
          </w:p>
        </w:tc>
      </w:tr>
    </w:tbl>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b w:val="1"/>
          <w:bCs w:val="1"/>
        </w:rPr>
      </w:pPr>
      <w:r w:rsidDel="00000000" w:rsidR="00000000" w:rsidRPr="00000000">
        <w:rPr>
          <w:b w:val="1"/>
          <w:bCs w:val="1"/>
          <w:rtl w:val="0"/>
        </w:rPr>
        <w:t xml:space="preserve">Proposed Solution Template</w:t>
      </w:r>
    </w:p>
    <w:tbl>
      <w:tblPr>
        <w:tblStyle w:val="Table2"/>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94"/>
        <w:gridCol w:w="1727"/>
        <w:gridCol w:w="7029"/>
        <w:tblGridChange w:id="0">
          <w:tblGrid>
            <w:gridCol w:w="594"/>
            <w:gridCol w:w="1727"/>
            <w:gridCol w:w="7029"/>
          </w:tblGrid>
        </w:tblGridChange>
      </w:tblGrid>
      <w:tr>
        <w:trPr>
          <w:cantSplit w:val="0"/>
          <w:tblHeader w:val="1"/>
        </w:trPr>
        <w:tc>
          <w:tcPr>
            <w:tcMar>
              <w:top w:w="0.0" w:type="dxa"/>
              <w:left w:w="0.0" w:type="dxa"/>
              <w:bottom w:w="137.0" w:type="dxa"/>
              <w:right w:w="0.0" w:type="dxa"/>
            </w:tcMar>
            <w:vAlign w:val="bottom"/>
          </w:tcPr>
          <w:p w:rsidR="00000000" w:rsidDel="00000000" w:rsidP="00000000" w:rsidRDefault="00000000" w:rsidRPr="00000000" w14:paraId="0000000E">
            <w:pPr>
              <w:rPr>
                <w:b w:val="1"/>
                <w:bCs w:val="1"/>
              </w:rPr>
            </w:pPr>
            <w:r w:rsidDel="00000000" w:rsidR="00000000" w:rsidRPr="00000000">
              <w:rPr>
                <w:b w:val="1"/>
                <w:bCs w:val="1"/>
                <w:rtl w:val="0"/>
              </w:rPr>
              <w:t xml:space="preserve">S.No.</w:t>
            </w:r>
          </w:p>
        </w:tc>
        <w:tc>
          <w:tcPr>
            <w:tcMar>
              <w:top w:w="0.0" w:type="dxa"/>
              <w:left w:w="0.0" w:type="dxa"/>
              <w:bottom w:w="137.0" w:type="dxa"/>
              <w:right w:w="0.0" w:type="dxa"/>
            </w:tcMar>
            <w:vAlign w:val="bottom"/>
          </w:tcPr>
          <w:p w:rsidR="00000000" w:rsidDel="00000000" w:rsidP="00000000" w:rsidRDefault="00000000" w:rsidRPr="00000000" w14:paraId="0000000F">
            <w:pPr>
              <w:rPr>
                <w:b w:val="1"/>
                <w:bCs w:val="1"/>
              </w:rPr>
            </w:pPr>
            <w:r w:rsidDel="00000000" w:rsidR="00000000" w:rsidRPr="00000000">
              <w:rPr>
                <w:b w:val="1"/>
                <w:bCs w:val="1"/>
                <w:rtl w:val="0"/>
              </w:rPr>
              <w:t xml:space="preserve">Parameter</w:t>
            </w:r>
          </w:p>
        </w:tc>
        <w:tc>
          <w:tcPr>
            <w:tcMar>
              <w:top w:w="0.0" w:type="dxa"/>
              <w:left w:w="0.0" w:type="dxa"/>
              <w:bottom w:w="137.0" w:type="dxa"/>
              <w:right w:w="0.0" w:type="dxa"/>
            </w:tcMar>
            <w:vAlign w:val="bottom"/>
          </w:tcPr>
          <w:p w:rsidR="00000000" w:rsidDel="00000000" w:rsidP="00000000" w:rsidRDefault="00000000" w:rsidRPr="00000000" w14:paraId="00000010">
            <w:pPr>
              <w:rPr>
                <w:b w:val="1"/>
                <w:bCs w:val="1"/>
              </w:rPr>
            </w:pPr>
            <w:r w:rsidDel="00000000" w:rsidR="00000000" w:rsidRPr="00000000">
              <w:rPr>
                <w:b w:val="1"/>
                <w:bCs w:val="1"/>
                <w:rtl w:val="0"/>
              </w:rPr>
              <w:t xml:space="preserve">Description</w:t>
            </w:r>
          </w:p>
        </w:tc>
      </w:tr>
      <w:tr>
        <w:trPr>
          <w:cantSplit w:val="0"/>
          <w:tblHeader w:val="0"/>
        </w:trPr>
        <w:tc>
          <w:tcPr>
            <w:tcMar>
              <w:top w:w="137.0" w:type="dxa"/>
              <w:left w:w="0.0" w:type="dxa"/>
              <w:bottom w:w="137.0" w:type="dxa"/>
              <w:right w:w="0.0" w:type="dxa"/>
            </w:tcMar>
            <w:vAlign w:val="bottom"/>
          </w:tcPr>
          <w:p w:rsidR="00000000" w:rsidDel="00000000" w:rsidP="00000000" w:rsidRDefault="00000000" w:rsidRPr="00000000" w14:paraId="00000011">
            <w:pPr>
              <w:rPr/>
            </w:pPr>
            <w:r w:rsidDel="00000000" w:rsidR="00000000" w:rsidRPr="00000000">
              <w:rPr>
                <w:b w:val="1"/>
                <w:bCs w:val="1"/>
                <w:rtl w:val="0"/>
              </w:rPr>
              <w:t xml:space="preserve">1</w:t>
            </w:r>
            <w:r w:rsidDel="00000000" w:rsidR="00000000" w:rsidRPr="00000000">
              <w:rPr>
                <w:rtl w:val="0"/>
              </w:rPr>
            </w:r>
          </w:p>
        </w:tc>
        <w:tc>
          <w:tcPr>
            <w:tcMar>
              <w:top w:w="137.0" w:type="dxa"/>
              <w:left w:w="0.0" w:type="dxa"/>
              <w:bottom w:w="137.0" w:type="dxa"/>
              <w:right w:w="0.0" w:type="dxa"/>
            </w:tcMar>
            <w:vAlign w:val="bottom"/>
          </w:tcPr>
          <w:p w:rsidR="00000000" w:rsidDel="00000000" w:rsidP="00000000" w:rsidRDefault="00000000" w:rsidRPr="00000000" w14:paraId="00000012">
            <w:pPr>
              <w:rPr/>
            </w:pPr>
            <w:r w:rsidDel="00000000" w:rsidR="00000000" w:rsidRPr="00000000">
              <w:rPr>
                <w:b w:val="1"/>
                <w:bCs w:val="1"/>
                <w:rtl w:val="0"/>
              </w:rPr>
              <w:t xml:space="preserve">Problem Statement (Problem to be Solved)</w:t>
            </w:r>
            <w:r w:rsidDel="00000000" w:rsidR="00000000" w:rsidRPr="00000000">
              <w:rPr>
                <w:rtl w:val="0"/>
              </w:rPr>
            </w:r>
          </w:p>
        </w:tc>
        <w:tc>
          <w:tcPr>
            <w:tcMar>
              <w:top w:w="137.0" w:type="dxa"/>
              <w:left w:w="0.0" w:type="dxa"/>
              <w:bottom w:w="137.0" w:type="dxa"/>
              <w:right w:w="0.0" w:type="dxa"/>
            </w:tcMar>
            <w:vAlign w:val="bottom"/>
          </w:tcPr>
          <w:p w:rsidR="00000000" w:rsidDel="00000000" w:rsidP="00000000" w:rsidRDefault="00000000" w:rsidRPr="00000000" w14:paraId="00000013">
            <w:pPr>
              <w:rPr/>
            </w:pPr>
            <w:r w:rsidDel="00000000" w:rsidR="00000000" w:rsidRPr="00000000">
              <w:rPr>
                <w:rtl w:val="0"/>
              </w:rPr>
              <w:t xml:space="preserve">Students and self-learners often struggle to find accurate educational resources, understand complex concepts, summarize lengthy study materials, generate practice quizzes, and receive personalized learning guidance. Existing platforms usually provide only one or two of these features, requiring users to switch between multiple applications, which is time-consuming and inefficient.</w:t>
            </w:r>
          </w:p>
        </w:tc>
      </w:tr>
      <w:tr>
        <w:trPr>
          <w:cantSplit w:val="0"/>
          <w:tblHeader w:val="0"/>
        </w:trPr>
        <w:tc>
          <w:tcPr>
            <w:tcMar>
              <w:top w:w="137.0" w:type="dxa"/>
              <w:left w:w="0.0" w:type="dxa"/>
              <w:bottom w:w="137.0" w:type="dxa"/>
              <w:right w:w="0.0" w:type="dxa"/>
            </w:tcMar>
            <w:vAlign w:val="bottom"/>
          </w:tcPr>
          <w:p w:rsidR="00000000" w:rsidDel="00000000" w:rsidP="00000000" w:rsidRDefault="00000000" w:rsidRPr="00000000" w14:paraId="00000014">
            <w:pPr>
              <w:rPr/>
            </w:pPr>
            <w:r w:rsidDel="00000000" w:rsidR="00000000" w:rsidRPr="00000000">
              <w:rPr>
                <w:b w:val="1"/>
                <w:bCs w:val="1"/>
                <w:rtl w:val="0"/>
              </w:rPr>
              <w:t xml:space="preserve">2</w:t>
            </w:r>
            <w:r w:rsidDel="00000000" w:rsidR="00000000" w:rsidRPr="00000000">
              <w:rPr>
                <w:rtl w:val="0"/>
              </w:rPr>
            </w:r>
          </w:p>
        </w:tc>
        <w:tc>
          <w:tcPr>
            <w:tcMar>
              <w:top w:w="137.0" w:type="dxa"/>
              <w:left w:w="0.0" w:type="dxa"/>
              <w:bottom w:w="137.0" w:type="dxa"/>
              <w:right w:w="0.0" w:type="dxa"/>
            </w:tcMar>
            <w:vAlign w:val="bottom"/>
          </w:tcPr>
          <w:p w:rsidR="00000000" w:rsidDel="00000000" w:rsidP="00000000" w:rsidRDefault="00000000" w:rsidRPr="00000000" w14:paraId="00000015">
            <w:pPr>
              <w:rPr/>
            </w:pPr>
            <w:r w:rsidDel="00000000" w:rsidR="00000000" w:rsidRPr="00000000">
              <w:rPr>
                <w:b w:val="1"/>
                <w:bCs w:val="1"/>
                <w:rtl w:val="0"/>
              </w:rPr>
              <w:t xml:space="preserve">Idea / Solution Description</w:t>
            </w:r>
            <w:r w:rsidDel="00000000" w:rsidR="00000000" w:rsidRPr="00000000">
              <w:rPr>
                <w:rtl w:val="0"/>
              </w:rPr>
            </w:r>
          </w:p>
        </w:tc>
        <w:tc>
          <w:tcPr>
            <w:tcMar>
              <w:top w:w="137.0" w:type="dxa"/>
              <w:left w:w="0.0" w:type="dxa"/>
              <w:bottom w:w="137.0" w:type="dxa"/>
              <w:right w:w="0.0" w:type="dxa"/>
            </w:tcMar>
            <w:vAlign w:val="bottom"/>
          </w:tcPr>
          <w:p w:rsidR="00000000" w:rsidDel="00000000" w:rsidP="00000000" w:rsidRDefault="00000000" w:rsidRPr="00000000" w14:paraId="00000016">
            <w:pPr>
              <w:rPr/>
            </w:pPr>
            <w:r w:rsidDel="00000000" w:rsidR="00000000" w:rsidRPr="00000000">
              <w:rPr>
                <w:b w:val="1"/>
                <w:bCs w:val="1"/>
                <w:rtl w:val="0"/>
              </w:rPr>
              <w:t xml:space="preserve">EduGenie</w:t>
            </w:r>
            <w:r w:rsidDel="00000000" w:rsidR="00000000" w:rsidRPr="00000000">
              <w:rPr>
                <w:rtl w:val="0"/>
              </w:rPr>
              <w:t xml:space="preserve"> is a lightweight AI-powered educational assistant that integrates </w:t>
            </w:r>
            <w:r w:rsidDel="00000000" w:rsidR="00000000" w:rsidRPr="00000000">
              <w:rPr>
                <w:b w:val="1"/>
                <w:bCs w:val="1"/>
                <w:rtl w:val="0"/>
              </w:rPr>
              <w:t xml:space="preserve">Google Gemini 1.5 Pro</w:t>
            </w:r>
            <w:r w:rsidDel="00000000" w:rsidR="00000000" w:rsidRPr="00000000">
              <w:rPr>
                <w:rtl w:val="0"/>
              </w:rPr>
              <w:t xml:space="preserve"> and </w:t>
            </w:r>
            <w:r w:rsidDel="00000000" w:rsidR="00000000" w:rsidRPr="00000000">
              <w:rPr>
                <w:b w:val="1"/>
                <w:bCs w:val="1"/>
                <w:rtl w:val="0"/>
              </w:rPr>
              <w:t xml:space="preserve">LaMini-Flan-T5</w:t>
            </w:r>
            <w:r w:rsidDel="00000000" w:rsidR="00000000" w:rsidRPr="00000000">
              <w:rPr>
                <w:rtl w:val="0"/>
              </w:rPr>
              <w:t xml:space="preserve"> to provide intelligent learning support through a single web application. It offers Question Answering, Concept Explanation, Quiz Generation, Text Summarization, and Personalized Learning Path Recommendations. The application is built using </w:t>
            </w:r>
            <w:r w:rsidDel="00000000" w:rsidR="00000000" w:rsidRPr="00000000">
              <w:rPr>
                <w:b w:val="1"/>
                <w:bCs w:val="1"/>
                <w:rtl w:val="0"/>
              </w:rPr>
              <w:t xml:space="preserve">FastAPI</w:t>
            </w:r>
            <w:r w:rsidDel="00000000" w:rsidR="00000000" w:rsidRPr="00000000">
              <w:rPr>
                <w:rtl w:val="0"/>
              </w:rPr>
              <w:t xml:space="preserve"> for the backend and </w:t>
            </w:r>
            <w:r w:rsidDel="00000000" w:rsidR="00000000" w:rsidRPr="00000000">
              <w:rPr>
                <w:b w:val="1"/>
                <w:bCs w:val="1"/>
                <w:rtl w:val="0"/>
              </w:rPr>
              <w:t xml:space="preserve">HTML, CSS, and Jinja2</w:t>
            </w:r>
            <w:r w:rsidDel="00000000" w:rsidR="00000000" w:rsidRPr="00000000">
              <w:rPr>
                <w:rtl w:val="0"/>
              </w:rPr>
              <w:t xml:space="preserve"> for the frontend, providing real-time AI-powered educational assistance through an interactive and user-friendly interface.</w:t>
            </w:r>
          </w:p>
        </w:tc>
      </w:tr>
      <w:tr>
        <w:trPr>
          <w:cantSplit w:val="0"/>
          <w:tblHeader w:val="0"/>
        </w:trPr>
        <w:tc>
          <w:tcPr>
            <w:tcMar>
              <w:top w:w="137.0" w:type="dxa"/>
              <w:left w:w="0.0" w:type="dxa"/>
              <w:bottom w:w="137.0" w:type="dxa"/>
              <w:right w:w="0.0" w:type="dxa"/>
            </w:tcMar>
            <w:vAlign w:val="bottom"/>
          </w:tcPr>
          <w:p w:rsidR="00000000" w:rsidDel="00000000" w:rsidP="00000000" w:rsidRDefault="00000000" w:rsidRPr="00000000" w14:paraId="00000017">
            <w:pPr>
              <w:rPr/>
            </w:pPr>
            <w:r w:rsidDel="00000000" w:rsidR="00000000" w:rsidRPr="00000000">
              <w:rPr>
                <w:b w:val="1"/>
                <w:bCs w:val="1"/>
                <w:rtl w:val="0"/>
              </w:rPr>
              <w:t xml:space="preserve">3</w:t>
            </w:r>
            <w:r w:rsidDel="00000000" w:rsidR="00000000" w:rsidRPr="00000000">
              <w:rPr>
                <w:rtl w:val="0"/>
              </w:rPr>
            </w:r>
          </w:p>
        </w:tc>
        <w:tc>
          <w:tcPr>
            <w:tcMar>
              <w:top w:w="137.0" w:type="dxa"/>
              <w:left w:w="0.0" w:type="dxa"/>
              <w:bottom w:w="137.0" w:type="dxa"/>
              <w:right w:w="0.0" w:type="dxa"/>
            </w:tcMar>
            <w:vAlign w:val="bottom"/>
          </w:tcPr>
          <w:p w:rsidR="00000000" w:rsidDel="00000000" w:rsidP="00000000" w:rsidRDefault="00000000" w:rsidRPr="00000000" w14:paraId="00000018">
            <w:pPr>
              <w:rPr/>
            </w:pPr>
            <w:r w:rsidDel="00000000" w:rsidR="00000000" w:rsidRPr="00000000">
              <w:rPr>
                <w:b w:val="1"/>
                <w:bCs w:val="1"/>
                <w:rtl w:val="0"/>
              </w:rPr>
              <w:t xml:space="preserve">Novelty / Uniqueness</w:t>
            </w:r>
            <w:r w:rsidDel="00000000" w:rsidR="00000000" w:rsidRPr="00000000">
              <w:rPr>
                <w:rtl w:val="0"/>
              </w:rPr>
            </w:r>
          </w:p>
        </w:tc>
        <w:tc>
          <w:tcPr>
            <w:tcMar>
              <w:top w:w="137.0" w:type="dxa"/>
              <w:left w:w="0.0" w:type="dxa"/>
              <w:bottom w:w="137.0" w:type="dxa"/>
              <w:right w:w="0.0" w:type="dxa"/>
            </w:tcMar>
            <w:vAlign w:val="bottom"/>
          </w:tcPr>
          <w:p w:rsidR="00000000" w:rsidDel="00000000" w:rsidP="00000000" w:rsidRDefault="00000000" w:rsidRPr="00000000" w14:paraId="00000019">
            <w:pPr>
              <w:rPr/>
            </w:pPr>
            <w:r w:rsidDel="00000000" w:rsidR="00000000" w:rsidRPr="00000000">
              <w:rPr>
                <w:rtl w:val="0"/>
              </w:rPr>
              <w:t xml:space="preserve">EduGenie combines multiple AI-powered educational services into one integrated platform instead of requiring separate tools. It uses </w:t>
            </w:r>
            <w:r w:rsidDel="00000000" w:rsidR="00000000" w:rsidRPr="00000000">
              <w:rPr>
                <w:b w:val="1"/>
                <w:bCs w:val="1"/>
                <w:rtl w:val="0"/>
              </w:rPr>
              <w:t xml:space="preserve">Gemini 1.5 Pro</w:t>
            </w:r>
            <w:r w:rsidDel="00000000" w:rsidR="00000000" w:rsidRPr="00000000">
              <w:rPr>
                <w:rtl w:val="0"/>
              </w:rPr>
              <w:t xml:space="preserve"> for advanced reasoning tasks such as Q&amp;A, Summarization, Quiz Generation, and Learning Recommendations, while </w:t>
            </w:r>
            <w:r w:rsidDel="00000000" w:rsidR="00000000" w:rsidRPr="00000000">
              <w:rPr>
                <w:b w:val="1"/>
                <w:bCs w:val="1"/>
                <w:rtl w:val="0"/>
              </w:rPr>
              <w:t xml:space="preserve">LaMini-Flan-T5</w:t>
            </w:r>
            <w:r w:rsidDel="00000000" w:rsidR="00000000" w:rsidRPr="00000000">
              <w:rPr>
                <w:rtl w:val="0"/>
              </w:rPr>
              <w:t xml:space="preserve"> provides lightweight local concept explanations. Its modular architecture, REST API integration, and responsive interface make it scalable, efficient, and suitable for both personal learning and academic environments.</w:t>
            </w:r>
          </w:p>
        </w:tc>
      </w:tr>
      <w:tr>
        <w:trPr>
          <w:cantSplit w:val="0"/>
          <w:tblHeader w:val="0"/>
        </w:trPr>
        <w:tc>
          <w:tcPr>
            <w:tcMar>
              <w:top w:w="137.0" w:type="dxa"/>
              <w:left w:w="0.0" w:type="dxa"/>
              <w:bottom w:w="137.0" w:type="dxa"/>
              <w:right w:w="0.0" w:type="dxa"/>
            </w:tcMar>
            <w:vAlign w:val="bottom"/>
          </w:tcPr>
          <w:p w:rsidR="00000000" w:rsidDel="00000000" w:rsidP="00000000" w:rsidRDefault="00000000" w:rsidRPr="00000000" w14:paraId="0000001A">
            <w:pPr>
              <w:rPr/>
            </w:pPr>
            <w:r w:rsidDel="00000000" w:rsidR="00000000" w:rsidRPr="00000000">
              <w:rPr>
                <w:b w:val="1"/>
                <w:bCs w:val="1"/>
                <w:rtl w:val="0"/>
              </w:rPr>
              <w:t xml:space="preserve">4</w:t>
            </w:r>
            <w:r w:rsidDel="00000000" w:rsidR="00000000" w:rsidRPr="00000000">
              <w:rPr>
                <w:rtl w:val="0"/>
              </w:rPr>
            </w:r>
          </w:p>
        </w:tc>
        <w:tc>
          <w:tcPr>
            <w:tcMar>
              <w:top w:w="137.0" w:type="dxa"/>
              <w:left w:w="0.0" w:type="dxa"/>
              <w:bottom w:w="137.0" w:type="dxa"/>
              <w:right w:w="0.0" w:type="dxa"/>
            </w:tcMar>
            <w:vAlign w:val="bottom"/>
          </w:tcPr>
          <w:p w:rsidR="00000000" w:rsidDel="00000000" w:rsidP="00000000" w:rsidRDefault="00000000" w:rsidRPr="00000000" w14:paraId="0000001B">
            <w:pPr>
              <w:rPr/>
            </w:pPr>
            <w:r w:rsidDel="00000000" w:rsidR="00000000" w:rsidRPr="00000000">
              <w:rPr>
                <w:b w:val="1"/>
                <w:bCs w:val="1"/>
                <w:rtl w:val="0"/>
              </w:rPr>
              <w:t xml:space="preserve">Social Impact / Customer Satisfaction</w:t>
            </w:r>
            <w:r w:rsidDel="00000000" w:rsidR="00000000" w:rsidRPr="00000000">
              <w:rPr>
                <w:rtl w:val="0"/>
              </w:rPr>
            </w:r>
          </w:p>
        </w:tc>
        <w:tc>
          <w:tcPr>
            <w:tcMar>
              <w:top w:w="137.0" w:type="dxa"/>
              <w:left w:w="0.0" w:type="dxa"/>
              <w:bottom w:w="137.0" w:type="dxa"/>
              <w:right w:w="0.0" w:type="dxa"/>
            </w:tcMar>
            <w:vAlign w:val="bottom"/>
          </w:tcPr>
          <w:p w:rsidR="00000000" w:rsidDel="00000000" w:rsidP="00000000" w:rsidRDefault="00000000" w:rsidRPr="00000000" w14:paraId="0000001C">
            <w:pPr>
              <w:rPr/>
            </w:pPr>
            <w:r w:rsidDel="00000000" w:rsidR="00000000" w:rsidRPr="00000000">
              <w:rPr>
                <w:rtl w:val="0"/>
              </w:rPr>
              <w:t xml:space="preserve">EduGenie improves the learning experience by making quality educational assistance accessible to students, educators, and self-learners. It saves time, simplifies difficult concepts, supports self-assessment through quizzes, encourages structured learning with personalized recommendations, and promotes continuous learning. The easy-to-use interface increases user satisfaction and makes AI-assisted education more accessible to learners from diverse backgrounds.</w:t>
            </w:r>
          </w:p>
        </w:tc>
      </w:tr>
      <w:tr>
        <w:trPr>
          <w:cantSplit w:val="0"/>
          <w:tblHeader w:val="0"/>
        </w:trPr>
        <w:tc>
          <w:tcPr>
            <w:tcMar>
              <w:top w:w="137.0" w:type="dxa"/>
              <w:left w:w="0.0" w:type="dxa"/>
              <w:bottom w:w="137.0" w:type="dxa"/>
              <w:right w:w="0.0" w:type="dxa"/>
            </w:tcMar>
            <w:vAlign w:val="bottom"/>
          </w:tcPr>
          <w:p w:rsidR="00000000" w:rsidDel="00000000" w:rsidP="00000000" w:rsidRDefault="00000000" w:rsidRPr="00000000" w14:paraId="0000001D">
            <w:pPr>
              <w:rPr/>
            </w:pPr>
            <w:r w:rsidDel="00000000" w:rsidR="00000000" w:rsidRPr="00000000">
              <w:rPr>
                <w:b w:val="1"/>
                <w:bCs w:val="1"/>
                <w:rtl w:val="0"/>
              </w:rPr>
              <w:t xml:space="preserve">5</w:t>
            </w:r>
            <w:r w:rsidDel="00000000" w:rsidR="00000000" w:rsidRPr="00000000">
              <w:rPr>
                <w:rtl w:val="0"/>
              </w:rPr>
            </w:r>
          </w:p>
        </w:tc>
        <w:tc>
          <w:tcPr>
            <w:tcMar>
              <w:top w:w="137.0" w:type="dxa"/>
              <w:left w:w="0.0" w:type="dxa"/>
              <w:bottom w:w="137.0" w:type="dxa"/>
              <w:right w:w="0.0" w:type="dxa"/>
            </w:tcMar>
            <w:vAlign w:val="bottom"/>
          </w:tcPr>
          <w:p w:rsidR="00000000" w:rsidDel="00000000" w:rsidP="00000000" w:rsidRDefault="00000000" w:rsidRPr="00000000" w14:paraId="0000001E">
            <w:pPr>
              <w:rPr/>
            </w:pPr>
            <w:r w:rsidDel="00000000" w:rsidR="00000000" w:rsidRPr="00000000">
              <w:rPr>
                <w:b w:val="1"/>
                <w:bCs w:val="1"/>
                <w:rtl w:val="0"/>
              </w:rPr>
              <w:t xml:space="preserve">Business Model (Revenue Model)</w:t>
            </w:r>
            <w:r w:rsidDel="00000000" w:rsidR="00000000" w:rsidRPr="00000000">
              <w:rPr>
                <w:rtl w:val="0"/>
              </w:rPr>
            </w:r>
          </w:p>
        </w:tc>
        <w:tc>
          <w:tcPr>
            <w:tcMar>
              <w:top w:w="137.0" w:type="dxa"/>
              <w:left w:w="0.0" w:type="dxa"/>
              <w:bottom w:w="137.0" w:type="dxa"/>
              <w:right w:w="0.0" w:type="dxa"/>
            </w:tcMar>
            <w:vAlign w:val="bottom"/>
          </w:tcPr>
          <w:p w:rsidR="00000000" w:rsidDel="00000000" w:rsidP="00000000" w:rsidRDefault="00000000" w:rsidRPr="00000000" w14:paraId="0000001F">
            <w:pPr>
              <w:rPr/>
            </w:pPr>
            <w:r w:rsidDel="00000000" w:rsidR="00000000" w:rsidRPr="00000000">
              <w:rPr>
                <w:rtl w:val="0"/>
              </w:rPr>
              <w:t xml:space="preserve">EduGenie can adopt a </w:t>
            </w:r>
            <w:r w:rsidDel="00000000" w:rsidR="00000000" w:rsidRPr="00000000">
              <w:rPr>
                <w:b w:val="1"/>
                <w:bCs w:val="1"/>
                <w:rtl w:val="0"/>
              </w:rPr>
              <w:t xml:space="preserve">Freemium</w:t>
            </w:r>
            <w:r w:rsidDel="00000000" w:rsidR="00000000" w:rsidRPr="00000000">
              <w:rPr>
                <w:rtl w:val="0"/>
              </w:rPr>
              <w:t xml:space="preserve"> business model, where basic educational features are provided free of charge, while premium features such as advanced AI models, personalized analytics, progress tracking, multilingual support, LMS integration, and cloud synchronization are available through subscription plans. Additional revenue can be generated through institutional licensing, educational partnerships, and enterprise deployments for schools, colleges, and training organizations.</w:t>
            </w:r>
          </w:p>
        </w:tc>
      </w:tr>
      <w:tr>
        <w:trPr>
          <w:cantSplit w:val="0"/>
          <w:tblHeader w:val="0"/>
        </w:trPr>
        <w:tc>
          <w:tcPr>
            <w:tcMar>
              <w:top w:w="137.0" w:type="dxa"/>
              <w:left w:w="0.0" w:type="dxa"/>
              <w:bottom w:w="360.0" w:type="dxa"/>
              <w:right w:w="0.0" w:type="dxa"/>
            </w:tcMar>
            <w:vAlign w:val="bottom"/>
          </w:tcPr>
          <w:p w:rsidR="00000000" w:rsidDel="00000000" w:rsidP="00000000" w:rsidRDefault="00000000" w:rsidRPr="00000000" w14:paraId="00000020">
            <w:pPr>
              <w:rPr/>
            </w:pPr>
            <w:r w:rsidDel="00000000" w:rsidR="00000000" w:rsidRPr="00000000">
              <w:rPr>
                <w:b w:val="1"/>
                <w:bCs w:val="1"/>
                <w:rtl w:val="0"/>
              </w:rPr>
              <w:t xml:space="preserve">6</w:t>
            </w:r>
            <w:r w:rsidDel="00000000" w:rsidR="00000000" w:rsidRPr="00000000">
              <w:rPr>
                <w:rtl w:val="0"/>
              </w:rPr>
            </w:r>
          </w:p>
        </w:tc>
        <w:tc>
          <w:tcPr>
            <w:tcMar>
              <w:top w:w="137.0" w:type="dxa"/>
              <w:left w:w="0.0" w:type="dxa"/>
              <w:bottom w:w="360.0" w:type="dxa"/>
              <w:right w:w="0.0" w:type="dxa"/>
            </w:tcMar>
            <w:vAlign w:val="bottom"/>
          </w:tcPr>
          <w:p w:rsidR="00000000" w:rsidDel="00000000" w:rsidP="00000000" w:rsidRDefault="00000000" w:rsidRPr="00000000" w14:paraId="00000021">
            <w:pPr>
              <w:rPr/>
            </w:pPr>
            <w:r w:rsidDel="00000000" w:rsidR="00000000" w:rsidRPr="00000000">
              <w:rPr>
                <w:b w:val="1"/>
                <w:bCs w:val="1"/>
                <w:rtl w:val="0"/>
              </w:rPr>
              <w:t xml:space="preserve">Scalability of the Solution</w:t>
            </w:r>
            <w:r w:rsidDel="00000000" w:rsidR="00000000" w:rsidRPr="00000000">
              <w:rPr>
                <w:rtl w:val="0"/>
              </w:rPr>
            </w:r>
          </w:p>
        </w:tc>
        <w:tc>
          <w:tcPr>
            <w:tcMar>
              <w:top w:w="137.0" w:type="dxa"/>
              <w:left w:w="0.0" w:type="dxa"/>
              <w:bottom w:w="360.0" w:type="dxa"/>
              <w:right w:w="0.0" w:type="dxa"/>
            </w:tcMar>
            <w:vAlign w:val="bottom"/>
          </w:tcPr>
          <w:p w:rsidR="00000000" w:rsidDel="00000000" w:rsidP="00000000" w:rsidRDefault="00000000" w:rsidRPr="00000000" w14:paraId="00000022">
            <w:pPr>
              <w:rPr/>
            </w:pPr>
            <w:r w:rsidDel="00000000" w:rsidR="00000000" w:rsidRPr="00000000">
              <w:rPr>
                <w:rtl w:val="0"/>
              </w:rPr>
              <w:t xml:space="preserve">The modular architecture enables EduGenie to scale easily by integrating additional AI models, cloud databases, and new educational services. Future enhancements may include student progress tracking, multilingual learning support, voice-based interaction, mobile applications, adaptive learning systems, AI-powered analytics dashboards, collaborative learning features, and integration with Learning Management Systems (LMS). The application can be deployed on cloud platforms using scalable databases such as PostgreSQL, MySQL, or Firebase to support a growing number of users.</w:t>
            </w:r>
          </w:p>
        </w:tc>
      </w:tr>
    </w:tbl>
    <w:p w:rsidR="00000000" w:rsidDel="00000000" w:rsidP="00000000" w:rsidRDefault="00000000" w:rsidRPr="00000000" w14:paraId="000000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4">
      <w:pPr>
        <w:rPr>
          <w:b w:val="1"/>
          <w:bCs w:val="1"/>
        </w:rPr>
      </w:pPr>
      <w:r w:rsidDel="00000000" w:rsidR="00000000" w:rsidRPr="00000000">
        <w:rPr>
          <w:b w:val="1"/>
          <w:bCs w:val="1"/>
          <w:rtl w:val="0"/>
        </w:rPr>
        <w:t xml:space="preserve">Conclusion</w:t>
      </w:r>
    </w:p>
    <w:p w:rsidR="00000000" w:rsidDel="00000000" w:rsidP="00000000" w:rsidRDefault="00000000" w:rsidRPr="00000000" w14:paraId="00000025">
      <w:pPr>
        <w:rPr/>
      </w:pPr>
      <w:r w:rsidDel="00000000" w:rsidR="00000000" w:rsidRPr="00000000">
        <w:rPr>
          <w:b w:val="1"/>
          <w:bCs w:val="1"/>
          <w:rtl w:val="0"/>
        </w:rPr>
        <w:t xml:space="preserve">EduGenie – Google Gemini Powered Learning Assistant</w:t>
      </w:r>
      <w:r w:rsidDel="00000000" w:rsidR="00000000" w:rsidRPr="00000000">
        <w:rPr>
          <w:rtl w:val="0"/>
        </w:rPr>
        <w:t xml:space="preserve"> is an AI-driven educational platform designed to make learning more interactive, personalized, and efficient. By integrating </w:t>
      </w:r>
      <w:r w:rsidDel="00000000" w:rsidR="00000000" w:rsidRPr="00000000">
        <w:rPr>
          <w:b w:val="1"/>
          <w:bCs w:val="1"/>
          <w:rtl w:val="0"/>
        </w:rPr>
        <w:t xml:space="preserve">Google Gemini 1.5 Pro</w:t>
      </w:r>
      <w:r w:rsidDel="00000000" w:rsidR="00000000" w:rsidRPr="00000000">
        <w:rPr>
          <w:rtl w:val="0"/>
        </w:rPr>
        <w:t xml:space="preserve"> and </w:t>
      </w:r>
      <w:r w:rsidDel="00000000" w:rsidR="00000000" w:rsidRPr="00000000">
        <w:rPr>
          <w:b w:val="1"/>
          <w:bCs w:val="1"/>
          <w:rtl w:val="0"/>
        </w:rPr>
        <w:t xml:space="preserve">LaMini-Flan-T5</w:t>
      </w:r>
      <w:r w:rsidDel="00000000" w:rsidR="00000000" w:rsidRPr="00000000">
        <w:rPr>
          <w:rtl w:val="0"/>
        </w:rPr>
        <w:t xml:space="preserve">, it provides intelligent question answering, simplified explanations, quiz generation, text summarization, and personalized learning recommendations within a single application. Its modular architecture, scalable design, and user-friendly interface make it a practical solution for students, educators, and self-learners while providing a strong foundation for future expansion and real-world educational deployment.</w:t>
      </w:r>
    </w:p>
    <w:p w:rsidR="00000000" w:rsidDel="00000000" w:rsidP="00000000" w:rsidRDefault="00000000" w:rsidRPr="00000000" w14:paraId="00000026">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iCs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CellMar>
        <w:top w:w="15.0" w:type="dxa"/>
        <w:left w:w="15.0" w:type="dxa"/>
        <w:bottom w:w="15.0" w:type="dxa"/>
        <w:right w:w="15.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