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203877c52cc5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5756910" cy="118872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03877c52cc5.xml"/>
</Relationships>

</file>

<file path=word/charts/_rels/chart203877c52cc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038187c705d.xlsx"/></Relationships>

</file>

<file path=word/charts/chart203877c52cc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rgbClr val="CAB2D6">
                <a:alpha val="100000"/>
              </a:srgbClr>
            </a:solidFill>
            <a:ln w="25400">
              <a:solidFill>
                <a:srgbClr val="CAB2D6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sheet1!$A$2:$A$3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sheet1!$B$2:$B$3</c:f>
              <c:numCache>
                <c:ptCount val="2"/>
                <c:pt idx="0">
                  <c:v>27</c:v>
                </c:pt>
                <c:pt idx="1">
                  <c:v>28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sheet1!$E$2:$E$3</c15:f>
                <c15:dlblRangeCache>
                  <c:ptCount val="2"/>
                  <c:pt idx="0">
                    <c:v>56.2%</c:v>
                  </c:pt>
                  <c:pt idx="1">
                    <c:v>53.8%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 bit</c:v>
                </c:pt>
              </c:strCache>
            </c:strRef>
          </c:tx>
          <c:spPr>
            <a:solidFill>
              <a:srgbClr val="33A02C">
                <a:alpha val="100000"/>
              </a:srgbClr>
            </a:solidFill>
            <a:ln w="25400">
              <a:solidFill>
                <a:srgbClr val="33A02C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sheet1!$A$2:$A$3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sheet1!$C$2:$C$3</c:f>
              <c:numCache>
                <c:ptCount val="2"/>
                <c:pt idx="0">
                  <c:v>16</c:v>
                </c:pt>
                <c:pt idx="1">
                  <c:v>21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sheet1!$F$2:$F$3</c15:f>
                <c15:dlblRangeCache>
                  <c:ptCount val="2"/>
                  <c:pt idx="0">
                    <c:v>33.3%</c:v>
                  </c:pt>
                  <c:pt idx="1">
                    <c:v>40.4%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lot</c:v>
                </c:pt>
              </c:strCache>
            </c:strRef>
          </c:tx>
          <c:spPr>
            <a:solidFill>
              <a:srgbClr val="FDBF6F">
                <a:alpha val="100000"/>
              </a:srgbClr>
            </a:solidFill>
            <a:ln w="25400">
              <a:solidFill>
                <a:srgbClr val="FDBF6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sheet1!$A$2:$A$3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sheet1!$D$2:$D$3</c:f>
              <c:numCache>
                <c:ptCount val="2"/>
                <c:pt idx="0">
                  <c:v>5</c:v>
                </c:pt>
                <c:pt idx="1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sheet1!$G$2:$G$3</c15:f>
                <c15:dlblRangeCache>
                  <c:ptCount val="2"/>
                  <c:pt idx="0">
                    <c:v>10.4%</c:v>
                  </c:pt>
                  <c:pt idx="1">
                    <c:v>5.8%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Calibri"/>
              <a:cs typeface="Calibri"/>
              <a:ea typeface="Calibri"/>
              <a:sym typeface="Calibri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2022-10-30T00:27:40Z</dcterms:modified>
  <cp:category/>
</cp:coreProperties>
</file>