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35745a4f21a5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drawing>
          <wp:inline distT="0" distB="0" distL="0" distR="0">
            <wp:extent cx="5756910" cy="914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35745a4f21a5.xml"/>
</Relationships>

</file>

<file path=word/charts/_rels/chart35745a4f21a5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357431f2563.xlsx"/></Relationships>

</file>

<file path=word/charts/chart35745a4f21a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Neither disagree nor agree</c:v>
                </c:pt>
              </c:strCache>
            </c:strRef>
          </c:tx>
          <c:spPr>
            <a:solidFill>
              <a:srgbClr val="CAB2D6">
                <a:alpha val="100000"/>
              </a:srgbClr>
            </a:solidFill>
            <a:ln w="25400">
              <a:solidFill>
                <a:srgbClr val="CAB2D6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sheet1!$A$2:$A$8</c:f>
              <c:strCache>
                <c:ptCount val="7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</c:strCache>
            </c:strRef>
          </c:cat>
          <c:val>
            <c:numRef>
              <c:f>sheet1!$B$2:$B$8</c:f>
              <c:numCache>
                <c:ptCount val="7"/>
                <c:pt idx="0">
                  <c:v>21.5</c:v>
                </c:pt>
                <c:pt idx="1">
                  <c:v>19.5</c:v>
                </c:pt>
                <c:pt idx="2">
                  <c:v>23.5</c:v>
                </c:pt>
                <c:pt idx="3">
                  <c:v>24.5</c:v>
                </c:pt>
                <c:pt idx="4">
                  <c:v>18.0</c:v>
                </c:pt>
                <c:pt idx="5">
                  <c:v>20.5</c:v>
                </c:pt>
                <c:pt idx="6">
                  <c:v>24.0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sheet1!$G$2:$G$8</c15:f>
                <c15:dlblRangeCache>
                  <c:ptCount val="7"/>
                  <c:pt idx="0">
                    <c:v>21.5%</c:v>
                  </c:pt>
                  <c:pt idx="1">
                    <c:v>19.5%</c:v>
                  </c:pt>
                  <c:pt idx="2">
                    <c:v>23.5%</c:v>
                  </c:pt>
                  <c:pt idx="3">
                    <c:v>24.5%</c:v>
                  </c:pt>
                  <c:pt idx="4">
                    <c:v>18.0%</c:v>
                  </c:pt>
                  <c:pt idx="5">
                    <c:v>20.5%</c:v>
                  </c:pt>
                  <c:pt idx="6">
                    <c:v>24.0%</c:v>
                  </c:pt>
                </c15:dlblRangeCache>
              </c15:datalabelsRange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Slightly agree</c:v>
                </c:pt>
              </c:strCache>
            </c:strRef>
          </c:tx>
          <c:spPr>
            <a:solidFill>
              <a:srgbClr val="33A02C">
                <a:alpha val="100000"/>
              </a:srgbClr>
            </a:solidFill>
            <a:ln w="25400">
              <a:solidFill>
                <a:srgbClr val="33A02C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sheet1!$A$2:$A$8</c:f>
              <c:strCache>
                <c:ptCount val="7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</c:strCache>
            </c:strRef>
          </c:cat>
          <c:val>
            <c:numRef>
              <c:f>sheet1!$C$2:$C$8</c:f>
              <c:numCache>
                <c:ptCount val="7"/>
                <c:pt idx="0">
                  <c:v>21.5</c:v>
                </c:pt>
                <c:pt idx="1">
                  <c:v>19.0</c:v>
                </c:pt>
                <c:pt idx="2">
                  <c:v>22.0</c:v>
                </c:pt>
                <c:pt idx="3">
                  <c:v>19.5</c:v>
                </c:pt>
                <c:pt idx="4">
                  <c:v>19.0</c:v>
                </c:pt>
                <c:pt idx="5">
                  <c:v>26.5</c:v>
                </c:pt>
                <c:pt idx="6">
                  <c:v>20.5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sheet1!$H$2:$H$8</c15:f>
                <c15:dlblRangeCache>
                  <c:ptCount val="7"/>
                  <c:pt idx="0">
                    <c:v>21.5%</c:v>
                  </c:pt>
                  <c:pt idx="1">
                    <c:v>19.0%</c:v>
                  </c:pt>
                  <c:pt idx="2">
                    <c:v>22.0%</c:v>
                  </c:pt>
                  <c:pt idx="3">
                    <c:v>19.5%</c:v>
                  </c:pt>
                  <c:pt idx="4">
                    <c:v>19.0%</c:v>
                  </c:pt>
                  <c:pt idx="5">
                    <c:v>26.5%</c:v>
                  </c:pt>
                  <c:pt idx="6">
                    <c:v>20.5%</c:v>
                  </c:pt>
                </c15:dlblRangeCache>
              </c15:datalabelsRange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Slightly disagree</c:v>
                </c:pt>
              </c:strCache>
            </c:strRef>
          </c:tx>
          <c:spPr>
            <a:solidFill>
              <a:srgbClr val="FDBF6F">
                <a:alpha val="100000"/>
              </a:srgbClr>
            </a:solidFill>
            <a:ln w="25400">
              <a:solidFill>
                <a:srgbClr val="FDBF6F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sheet1!$A$2:$A$8</c:f>
              <c:strCache>
                <c:ptCount val="7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</c:strCache>
            </c:strRef>
          </c:cat>
          <c:val>
            <c:numRef>
              <c:f>sheet1!$D$2:$D$8</c:f>
              <c:numCache>
                <c:ptCount val="7"/>
                <c:pt idx="0">
                  <c:v>19.0</c:v>
                </c:pt>
                <c:pt idx="1">
                  <c:v>17.5</c:v>
                </c:pt>
                <c:pt idx="2">
                  <c:v>20.5</c:v>
                </c:pt>
                <c:pt idx="3">
                  <c:v>16.0</c:v>
                </c:pt>
                <c:pt idx="4">
                  <c:v>19.5</c:v>
                </c:pt>
                <c:pt idx="5">
                  <c:v>17.5</c:v>
                </c:pt>
                <c:pt idx="6">
                  <c:v>16.0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sheet1!$I$2:$I$8</c15:f>
                <c15:dlblRangeCache>
                  <c:ptCount val="7"/>
                  <c:pt idx="0">
                    <c:v>19.0%</c:v>
                  </c:pt>
                  <c:pt idx="1">
                    <c:v>17.5%</c:v>
                  </c:pt>
                  <c:pt idx="2">
                    <c:v>20.5%</c:v>
                  </c:pt>
                  <c:pt idx="3">
                    <c:v>16.0%</c:v>
                  </c:pt>
                  <c:pt idx="4">
                    <c:v>19.5%</c:v>
                  </c:pt>
                  <c:pt idx="5">
                    <c:v>17.5%</c:v>
                  </c:pt>
                  <c:pt idx="6">
                    <c:v>16.0%</c:v>
                  </c:pt>
                </c15:dlblRangeCache>
              </c15:datalabelsRange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Strongly agree</c:v>
                </c:pt>
              </c:strCache>
            </c:strRef>
          </c:tx>
          <c:spPr>
            <a:solidFill>
              <a:srgbClr val="A6CEE3">
                <a:alpha val="100000"/>
              </a:srgbClr>
            </a:solidFill>
            <a:ln w="25400">
              <a:solidFill>
                <a:srgbClr val="A6CEE3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sheet1!$A$2:$A$8</c:f>
              <c:strCache>
                <c:ptCount val="7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</c:strCache>
            </c:strRef>
          </c:cat>
          <c:val>
            <c:numRef>
              <c:f>sheet1!$E$2:$E$8</c:f>
              <c:numCache>
                <c:ptCount val="7"/>
                <c:pt idx="0">
                  <c:v>18.0</c:v>
                </c:pt>
                <c:pt idx="1">
                  <c:v>21.5</c:v>
                </c:pt>
                <c:pt idx="2">
                  <c:v>17.0</c:v>
                </c:pt>
                <c:pt idx="3">
                  <c:v>20.5</c:v>
                </c:pt>
                <c:pt idx="4">
                  <c:v>25.0</c:v>
                </c:pt>
                <c:pt idx="5">
                  <c:v>19.5</c:v>
                </c:pt>
                <c:pt idx="6">
                  <c:v>18.5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sheet1!$J$2:$J$8</c15:f>
                <c15:dlblRangeCache>
                  <c:ptCount val="7"/>
                  <c:pt idx="0">
                    <c:v>18.0%</c:v>
                  </c:pt>
                  <c:pt idx="1">
                    <c:v>21.5%</c:v>
                  </c:pt>
                  <c:pt idx="2">
                    <c:v>17.0%</c:v>
                  </c:pt>
                  <c:pt idx="3">
                    <c:v>20.5%</c:v>
                  </c:pt>
                  <c:pt idx="4">
                    <c:v>25.0%</c:v>
                  </c:pt>
                  <c:pt idx="5">
                    <c:v>19.5%</c:v>
                  </c:pt>
                  <c:pt idx="6">
                    <c:v>18.5%</c:v>
                  </c:pt>
                </c15:dlblRangeCache>
              </c15:datalabelsRange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Strongly disagree</c:v>
                </c:pt>
              </c:strCache>
            </c:strRef>
          </c:tx>
          <c:spPr>
            <a:solidFill>
              <a:srgbClr val="1F78B4">
                <a:alpha val="100000"/>
              </a:srgbClr>
            </a:solidFill>
            <a:ln w="25400">
              <a:solidFill>
                <a:srgbClr val="1F78B4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FFFFFF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sheet1!$A$2:$A$8</c:f>
              <c:strCache>
                <c:ptCount val="7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</c:strCache>
            </c:strRef>
          </c:cat>
          <c:val>
            <c:numRef>
              <c:f>sheet1!$F$2:$F$8</c:f>
              <c:numCache>
                <c:ptCount val="7"/>
                <c:pt idx="0">
                  <c:v>20.0</c:v>
                </c:pt>
                <c:pt idx="1">
                  <c:v>22.5</c:v>
                </c:pt>
                <c:pt idx="2">
                  <c:v>17.0</c:v>
                </c:pt>
                <c:pt idx="3">
                  <c:v>19.5</c:v>
                </c:pt>
                <c:pt idx="4">
                  <c:v>18.5</c:v>
                </c:pt>
                <c:pt idx="5">
                  <c:v>16.0</c:v>
                </c:pt>
                <c:pt idx="6">
                  <c:v>21.0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sheet1!$K$2:$K$8</c15:f>
                <c15:dlblRangeCache>
                  <c:ptCount val="7"/>
                  <c:pt idx="0">
                    <c:v>20.0%</c:v>
                  </c:pt>
                  <c:pt idx="1">
                    <c:v>22.5%</c:v>
                  </c:pt>
                  <c:pt idx="2">
                    <c:v>17.0%</c:v>
                  </c:pt>
                  <c:pt idx="3">
                    <c:v>19.5%</c:v>
                  </c:pt>
                  <c:pt idx="4">
                    <c:v>18.5%</c:v>
                  </c:pt>
                  <c:pt idx="5">
                    <c:v>16.0%</c:v>
                  </c:pt>
                  <c:pt idx="6">
                    <c:v>21.0%</c:v>
                  </c:pt>
                </c15:dlblRangeCache>
              </c15:datalabelsRange>
            </c:ext>
          </c:extLst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TickMark val="none"/>
        <c:minorTickMark val="none"/>
        <c:tickLblPos val="nextTo"/>
        <c:txPr>
          <a:bodyPr rot="0" vert="horz"/>
          <a:lstStyle/>
          <a:p>
            <a:pPr>
              <a:defRPr cap="none" sz="8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TickMark val="cross"/>
        <c:minorTickMark val="none"/>
        <c:tickLblPos val="nextTo"/>
        <c:txPr>
          <a:bodyPr rot="0" vert="horz"/>
          <a:lstStyle/>
          <a:p>
            <a:pPr>
              <a:defRPr cap="none" sz="8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0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8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2022-09-11T21:12:05Z</dcterms:modified>
  <cp:category/>
</cp:coreProperties>
</file>