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Inter" w:cs="Inter" w:eastAsia="Inter" w:hAnsi="Inter"/>
          <w:b w:val="1"/>
          <w:bCs w:val="1"/>
          <w:sz w:val="32"/>
          <w:szCs w:val="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32"/>
          <w:szCs w:val="32"/>
          <w:rtl w:val="0"/>
        </w:rPr>
        <w:t xml:space="preserve">Analyse du bien-être sur Terre</w:t>
      </w:r>
    </w:p>
    <w:p w:rsidR="00000000" w:rsidDel="00000000" w:rsidP="00000000" w:rsidRDefault="00000000" w:rsidRPr="00000000" w14:paraId="00000004">
      <w:pPr>
        <w:jc w:val="center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Cursus concerné 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Data Analyst</w:t>
        <w:tab/>
        <w:tab/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Niveau de difficulté : 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06/10</w:t>
      </w:r>
    </w:p>
    <w:p w:rsidR="00000000" w:rsidDel="00000000" w:rsidP="00000000" w:rsidRDefault="00000000" w:rsidRPr="00000000" w14:paraId="00000009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Description du projet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z w:val="24"/>
          <w:szCs w:val="24"/>
          <w:highlight w:val="white"/>
          <w:rtl w:val="0"/>
        </w:rPr>
        <w:t xml:space="preserve">Dans ce projet nous allons effectuer une analyse approfondie des données collectées par le World Happiness Report. Cette enquête a pour objectif d’estimer le bonheur des pays autour de la planète à l’aide de mesures socio-économiques autour de la santé, l’éducation, la corruption, l’économie, l’espérance de vie, etc. L’objectif de ce projet est de présenter ces données à l’aide de visualisations interactives bien pensées et de déterminer les combinaisons de facteurs permettant d’expliquer pourquoi certains pays sont mieux classés que les autres.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Ressources à consulter 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Données : 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line="276" w:lineRule="auto"/>
        <w:ind w:left="1440" w:hanging="360"/>
        <w:jc w:val="both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Le dataset est consultable au lien suivant : </w:t>
      </w:r>
      <w:hyperlink r:id="rId6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WHR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rFonts w:ascii="Inter" w:cs="Inter" w:eastAsia="Inter" w:hAnsi="Inter"/>
          <w:sz w:val="24"/>
          <w:szCs w:val="24"/>
        </w:rPr>
      </w:pPr>
      <w:hyperlink r:id="rId7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World Happiness Report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240" w:before="240" w:line="276" w:lineRule="auto"/>
        <w:ind w:left="1440" w:hanging="360"/>
        <w:jc w:val="both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Une version plus ancienne est également disponible ici : </w:t>
      </w:r>
      <w:hyperlink r:id="rId8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https://www.kaggle.com/ajaypalsinghlo/world-happiness-report-2021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76" w:lineRule="auto"/>
        <w:ind w:left="1440" w:hanging="360"/>
        <w:jc w:val="both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Une analyse plus approfondie pourra être effectuée à l’aide d’outils de web scraping et text mining afin de faire un parallèle entre le bien-être d’un pays et sa situation décrite par les médias.</w:t>
      </w:r>
    </w:p>
    <w:p w:rsidR="00000000" w:rsidDel="00000000" w:rsidP="00000000" w:rsidRDefault="00000000" w:rsidRPr="00000000" w14:paraId="00000014">
      <w:pPr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Conditions de validation du projet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un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rapport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d’exploration, de data visualisation et de pre-processing des données 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un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rapport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final et le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code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associé.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widowControl w:val="0"/>
      <w:spacing w:line="240" w:lineRule="auto"/>
      <w:ind w:left="1467" w:right="1527" w:firstLine="0"/>
      <w:jc w:val="center"/>
      <w:rPr>
        <w:rFonts w:ascii="Inter" w:cs="Inter" w:eastAsia="Inter" w:hAnsi="Inter"/>
        <w:sz w:val="20"/>
        <w:szCs w:val="20"/>
      </w:rPr>
    </w:pPr>
    <w:r w:rsidDel="00000000" w:rsidR="00000000" w:rsidRPr="00000000">
      <w:rPr>
        <w:rFonts w:ascii="Inter" w:cs="Inter" w:eastAsia="Inter" w:hAnsi="Inter"/>
        <w:sz w:val="20"/>
        <w:szCs w:val="20"/>
        <w:u w:val="single"/>
        <w:rtl w:val="0"/>
      </w:rPr>
      <w:t xml:space="preserve">Liora.io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widowControl w:val="0"/>
      <w:spacing w:before="9" w:line="240" w:lineRule="auto"/>
      <w:ind w:left="1467" w:right="1504" w:firstLine="0"/>
      <w:jc w:val="center"/>
      <w:rPr>
        <w:rFonts w:ascii="Inter" w:cs="Inter" w:eastAsia="Inter" w:hAnsi="Inter"/>
        <w:color w:val="ff6745"/>
        <w:sz w:val="16"/>
        <w:szCs w:val="16"/>
      </w:rPr>
    </w:pPr>
    <w:r w:rsidDel="00000000" w:rsidR="00000000" w:rsidRPr="00000000">
      <w:rPr>
        <w:rFonts w:ascii="Inter" w:cs="Inter" w:eastAsia="Inter" w:hAnsi="Inter"/>
        <w:color w:val="ff6745"/>
        <w:sz w:val="16"/>
        <w:szCs w:val="16"/>
        <w:rtl w:val="0"/>
      </w:rPr>
      <w:t xml:space="preserve">Agrément organisme de formation 11755665975</w:t>
    </w:r>
  </w:p>
  <w:p w:rsidR="00000000" w:rsidDel="00000000" w:rsidP="00000000" w:rsidRDefault="00000000" w:rsidRPr="00000000" w14:paraId="0000001B">
    <w:pPr>
      <w:widowControl w:val="0"/>
      <w:spacing w:before="11" w:line="240" w:lineRule="auto"/>
      <w:ind w:left="2087" w:right="1740" w:firstLine="0"/>
      <w:jc w:val="center"/>
      <w:rPr>
        <w:rFonts w:ascii="Inter" w:cs="Inter" w:eastAsia="Inter" w:hAnsi="Inter"/>
        <w:color w:val="ff6745"/>
        <w:sz w:val="16"/>
        <w:szCs w:val="16"/>
      </w:rPr>
    </w:pPr>
    <w:r w:rsidDel="00000000" w:rsidR="00000000" w:rsidRPr="00000000">
      <w:rPr>
        <w:rFonts w:ascii="Inter" w:cs="Inter" w:eastAsia="Inter" w:hAnsi="Inter"/>
        <w:color w:val="ff6745"/>
        <w:sz w:val="16"/>
        <w:szCs w:val="16"/>
        <w:rtl w:val="0"/>
      </w:rPr>
      <w:t xml:space="preserve">+33 1 84 78 19 67 (Particuliers) /+33 1 84 78 19 68 (Entreprises)</w:t>
    </w:r>
  </w:p>
  <w:p w:rsidR="00000000" w:rsidDel="00000000" w:rsidP="00000000" w:rsidRDefault="00000000" w:rsidRPr="00000000" w14:paraId="0000001C">
    <w:pPr>
      <w:widowControl w:val="0"/>
      <w:spacing w:before="11" w:line="240" w:lineRule="auto"/>
      <w:ind w:left="1467" w:right="1518" w:firstLine="0"/>
      <w:jc w:val="center"/>
      <w:rPr>
        <w:rFonts w:ascii="Montserrat" w:cs="Montserrat" w:eastAsia="Montserrat" w:hAnsi="Montserrat"/>
        <w:sz w:val="20"/>
        <w:szCs w:val="20"/>
      </w:rPr>
    </w:pPr>
    <w:r w:rsidDel="00000000" w:rsidR="00000000" w:rsidRPr="00000000">
      <w:rPr>
        <w:rFonts w:ascii="Inter" w:cs="Inter" w:eastAsia="Inter" w:hAnsi="Inter"/>
        <w:color w:val="ff6745"/>
        <w:sz w:val="16"/>
        <w:szCs w:val="16"/>
        <w:rtl w:val="0"/>
      </w:rPr>
      <w:t xml:space="preserve">1 terrasse Bellini 92800 Puteaux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jc w:val="center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-1552574</wp:posOffset>
          </wp:positionH>
          <wp:positionV relativeFrom="page">
            <wp:posOffset>-28574</wp:posOffset>
          </wp:positionV>
          <wp:extent cx="9139238" cy="704850"/>
          <wp:effectExtent b="0" l="0" r="0" t="0"/>
          <wp:wrapSquare wrapText="bothSides" distB="114300" distT="114300" distL="114300" distR="11430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2652" l="0" r="0" t="2652"/>
                  <a:stretch>
                    <a:fillRect/>
                  </a:stretch>
                </pic:blipFill>
                <pic:spPr>
                  <a:xfrm>
                    <a:off x="0" y="0"/>
                    <a:ext cx="9139238" cy="7048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1498762</wp:posOffset>
          </wp:positionH>
          <wp:positionV relativeFrom="paragraph">
            <wp:posOffset>322085</wp:posOffset>
          </wp:positionV>
          <wp:extent cx="2735100" cy="39839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-58363" r="-58363" t="0"/>
                  <a:stretch>
                    <a:fillRect/>
                  </a:stretch>
                </pic:blipFill>
                <pic:spPr>
                  <a:xfrm>
                    <a:off x="0" y="0"/>
                    <a:ext cx="2735100" cy="3983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M70WMmxH4ykhQGHwKvomrGcz18k3BhUi/view?usp=drive_link" TargetMode="External"/><Relationship Id="rId7" Type="http://schemas.openxmlformats.org/officeDocument/2006/relationships/hyperlink" Target="https://www.worldhappiness.report/" TargetMode="External"/><Relationship Id="rId8" Type="http://schemas.openxmlformats.org/officeDocument/2006/relationships/hyperlink" Target="https://www.kaggle.com/ajaypalsinghlo/world-happiness-report-202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