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EEDB0" w14:textId="65EE2AF2" w:rsidR="00C70CAD" w:rsidRDefault="00E63704">
      <w:r>
        <w:t xml:space="preserve">As I approach </w:t>
      </w:r>
      <w:r w:rsidR="0038288C">
        <w:t>the end of the project, I have successfully integrated the system and completed the behavioural and physical testing of the adaptive trading system on the FPGA board</w:t>
      </w:r>
      <w:r w:rsidR="00BE7157">
        <w:t>, hence being slightly ahead of schedule in completion despite the vast scope expansion</w:t>
      </w:r>
      <w:r w:rsidR="0038288C">
        <w:t xml:space="preserve">. This involved </w:t>
      </w:r>
      <w:r>
        <w:t>integrating</w:t>
      </w:r>
      <w:r w:rsidR="0038288C">
        <w:t xml:space="preserve"> all HLS IP cores </w:t>
      </w:r>
      <w:r>
        <w:t>such as</w:t>
      </w:r>
      <w:r w:rsidR="0038288C">
        <w:t xml:space="preserve"> volatility trigger, feature extractors and the LR and MLP models with custom RTL modules in the Vivado block design. The use of Vitis to extract the HLS models, and coding using C++ allowed for minimal Verilog during the design of the blocks and </w:t>
      </w:r>
      <w:r>
        <w:t>enabled</w:t>
      </w:r>
      <w:r w:rsidR="0038288C">
        <w:t xml:space="preserve"> easy verification of all individual </w:t>
      </w:r>
      <w:r w:rsidR="00BE7157">
        <w:t xml:space="preserve">module </w:t>
      </w:r>
      <w:r w:rsidR="0038288C">
        <w:t xml:space="preserve">latencies. </w:t>
      </w:r>
    </w:p>
    <w:p w14:paraId="29948382" w14:textId="77777777" w:rsidR="0038288C" w:rsidRDefault="0038288C"/>
    <w:p w14:paraId="698E89C7" w14:textId="7D594868" w:rsidR="008B731F" w:rsidRDefault="0038288C">
      <w:r>
        <w:t xml:space="preserve">To ensure testing was perfect, I developed a Verilog testbench with realistic market scenarios simulated via Python through UART transmission. During the verification, there </w:t>
      </w:r>
      <w:r w:rsidR="00E63704">
        <w:t>were</w:t>
      </w:r>
      <w:r>
        <w:t xml:space="preserve"> issues like reset polarity mismatches, 32</w:t>
      </w:r>
      <w:r w:rsidR="00E63704">
        <w:t>-bit</w:t>
      </w:r>
      <w:r>
        <w:t xml:space="preserve"> vs 16</w:t>
      </w:r>
      <w:r w:rsidR="00E63704">
        <w:t>-</w:t>
      </w:r>
      <w:r>
        <w:t xml:space="preserve">bit data width incompatibility and combinational logic issues that required significant time debugging. The simulation now successfully shows the FPGA lighting up LED15 when the MLP is in use under high volatility data, whilst the LR pathway </w:t>
      </w:r>
      <w:r w:rsidR="00E63704">
        <w:t xml:space="preserve">is </w:t>
      </w:r>
      <w:r>
        <w:t>used for low volatility data</w:t>
      </w:r>
      <w:r w:rsidR="00365B26">
        <w:t xml:space="preserve"> with LED15 remaining off</w:t>
      </w:r>
      <w:r>
        <w:t xml:space="preserve">. All bugs, test scripts and verification </w:t>
      </w:r>
      <w:r w:rsidR="00E63704">
        <w:t>were</w:t>
      </w:r>
      <w:r>
        <w:t xml:space="preserve"> documented within the project logbook.</w:t>
      </w:r>
    </w:p>
    <w:p w14:paraId="22AA5135" w14:textId="0DB9427B" w:rsidR="008B731F" w:rsidRDefault="008B731F">
      <w:r>
        <w:t xml:space="preserve">The next 4 weeks will be spent focusing on </w:t>
      </w:r>
      <w:r w:rsidR="00BE7157">
        <w:t xml:space="preserve">Work Package 6: System Benchmarking, Final </w:t>
      </w:r>
      <w:r w:rsidR="00E63704">
        <w:t>Report</w:t>
      </w:r>
      <w:r w:rsidR="00BE7157">
        <w:t xml:space="preserve"> and Demonstration.</w:t>
      </w:r>
      <w:r>
        <w:t xml:space="preserve"> I plan on collating more </w:t>
      </w:r>
      <w:r w:rsidR="00BE7157">
        <w:t>data</w:t>
      </w:r>
      <w:r>
        <w:t xml:space="preserve"> on power, accuracy, latency and developing a Pareto Frontier to show the effectiveness of this strategy over normal </w:t>
      </w:r>
      <w:r w:rsidR="00365B26">
        <w:t>Edge AI</w:t>
      </w:r>
      <w:r>
        <w:t xml:space="preserve"> strategies and do full depth analysis on previous work in this field preparing for the final report. </w:t>
      </w:r>
      <w:r w:rsidR="006A3DD2">
        <w:t xml:space="preserve">Based </w:t>
      </w:r>
      <w:r w:rsidR="00E63704">
        <w:t>on</w:t>
      </w:r>
      <w:r w:rsidR="006A3DD2">
        <w:t xml:space="preserve"> initial research, there is very little if any research into volatility-aware conditional inference architecture on an FPGA for financial tick data. The use of the trigger module to switch between a simple LR model compared </w:t>
      </w:r>
      <w:r w:rsidR="00E63704">
        <w:t xml:space="preserve">to </w:t>
      </w:r>
      <w:r w:rsidR="006A3DD2">
        <w:t xml:space="preserve">a complex MLP model in </w:t>
      </w:r>
      <w:r w:rsidR="00E63704">
        <w:t>high-volatility</w:t>
      </w:r>
      <w:r w:rsidR="006A3DD2">
        <w:t xml:space="preserve"> conditions allowed for a 1.4% accuracy gain. Whilst a small gain, each percentile can have a significant impact </w:t>
      </w:r>
      <w:r w:rsidR="00E63704">
        <w:t>on</w:t>
      </w:r>
      <w:r w:rsidR="006A3DD2">
        <w:t xml:space="preserve"> the profitability of a trading strategy</w:t>
      </w:r>
      <w:r w:rsidR="00BE7157">
        <w:t xml:space="preserve"> in an industry trading trillions each day. </w:t>
      </w:r>
      <w:r w:rsidR="00E63704">
        <w:t xml:space="preserve">Defaulting to the LR model allows the energy saving to be maximised and aligns with the sustainable goals of resource efficient adaptive ML systems on budget FPGAs. </w:t>
      </w:r>
      <w:r w:rsidR="00BE7157">
        <w:t>This, paired with the peak latency of 1.24uS for the MLP and 400ns LR pathway on a 100MHz clock allows for</w:t>
      </w:r>
      <w:r w:rsidR="00E63704">
        <w:t xml:space="preserve"> the system to far outperform the initial 50% benchmark CPU latency reduction (reaching 95%+ in initial testing).</w:t>
      </w:r>
    </w:p>
    <w:sectPr w:rsidR="008B73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272"/>
    <w:rsid w:val="00365B26"/>
    <w:rsid w:val="0038288C"/>
    <w:rsid w:val="00454C9F"/>
    <w:rsid w:val="006A3DD2"/>
    <w:rsid w:val="007D0DFE"/>
    <w:rsid w:val="008B731F"/>
    <w:rsid w:val="009F0AFC"/>
    <w:rsid w:val="00BE7157"/>
    <w:rsid w:val="00C70CAD"/>
    <w:rsid w:val="00E128A4"/>
    <w:rsid w:val="00E63704"/>
    <w:rsid w:val="00F022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1645A"/>
  <w15:chartTrackingRefBased/>
  <w15:docId w15:val="{3E9ADF38-0C5A-40FF-A2CA-ADA93910C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2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2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2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2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2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2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2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2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272"/>
    <w:rPr>
      <w:rFonts w:eastAsiaTheme="majorEastAsia" w:cstheme="majorBidi"/>
      <w:color w:val="272727" w:themeColor="text1" w:themeTint="D8"/>
    </w:rPr>
  </w:style>
  <w:style w:type="paragraph" w:styleId="Title">
    <w:name w:val="Title"/>
    <w:basedOn w:val="Normal"/>
    <w:next w:val="Normal"/>
    <w:link w:val="TitleChar"/>
    <w:uiPriority w:val="10"/>
    <w:qFormat/>
    <w:rsid w:val="00F02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272"/>
    <w:pPr>
      <w:spacing w:before="160"/>
      <w:jc w:val="center"/>
    </w:pPr>
    <w:rPr>
      <w:i/>
      <w:iCs/>
      <w:color w:val="404040" w:themeColor="text1" w:themeTint="BF"/>
    </w:rPr>
  </w:style>
  <w:style w:type="character" w:customStyle="1" w:styleId="QuoteChar">
    <w:name w:val="Quote Char"/>
    <w:basedOn w:val="DefaultParagraphFont"/>
    <w:link w:val="Quote"/>
    <w:uiPriority w:val="29"/>
    <w:rsid w:val="00F02272"/>
    <w:rPr>
      <w:i/>
      <w:iCs/>
      <w:color w:val="404040" w:themeColor="text1" w:themeTint="BF"/>
    </w:rPr>
  </w:style>
  <w:style w:type="paragraph" w:styleId="ListParagraph">
    <w:name w:val="List Paragraph"/>
    <w:basedOn w:val="Normal"/>
    <w:uiPriority w:val="34"/>
    <w:qFormat/>
    <w:rsid w:val="00F02272"/>
    <w:pPr>
      <w:ind w:left="720"/>
      <w:contextualSpacing/>
    </w:pPr>
  </w:style>
  <w:style w:type="character" w:styleId="IntenseEmphasis">
    <w:name w:val="Intense Emphasis"/>
    <w:basedOn w:val="DefaultParagraphFont"/>
    <w:uiPriority w:val="21"/>
    <w:qFormat/>
    <w:rsid w:val="00F02272"/>
    <w:rPr>
      <w:i/>
      <w:iCs/>
      <w:color w:val="0F4761" w:themeColor="accent1" w:themeShade="BF"/>
    </w:rPr>
  </w:style>
  <w:style w:type="paragraph" w:styleId="IntenseQuote">
    <w:name w:val="Intense Quote"/>
    <w:basedOn w:val="Normal"/>
    <w:next w:val="Normal"/>
    <w:link w:val="IntenseQuoteChar"/>
    <w:uiPriority w:val="30"/>
    <w:qFormat/>
    <w:rsid w:val="00F02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272"/>
    <w:rPr>
      <w:i/>
      <w:iCs/>
      <w:color w:val="0F4761" w:themeColor="accent1" w:themeShade="BF"/>
    </w:rPr>
  </w:style>
  <w:style w:type="character" w:styleId="IntenseReference">
    <w:name w:val="Intense Reference"/>
    <w:basedOn w:val="DefaultParagraphFont"/>
    <w:uiPriority w:val="32"/>
    <w:qFormat/>
    <w:rsid w:val="00F022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1090</TotalTime>
  <Pages>1</Pages>
  <Words>368</Words>
  <Characters>2100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Naqvi, Syed</dc:creator>
  <cp:keywords/>
  <dc:description/>
  <cp:lastModifiedBy>Naqvi, Syed</cp:lastModifiedBy>
  <cp:revision>3</cp:revision>
  <dcterms:created xsi:type="dcterms:W3CDTF">2026-03-08T19:59:00Z</dcterms:created>
  <dcterms:modified xsi:type="dcterms:W3CDTF">2026-03-10T09:13:00Z</dcterms:modified>
</cp:coreProperties>
</file>