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day38_107856406_dsdipt_sudipto_24september2025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z938e79sl0xz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24 September 2025 (Day 38)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2ql9yll1bss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01: Hamcrest Demo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1115675" cy="85153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5675" cy="85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p4pxh4kq2pk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02: Object Matcher Demo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0896600" cy="86677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866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hhe7r17cucd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03: Bean Matcher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0639425" cy="6019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kc4u6pgbrgl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04: Bean Property Checker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0848975" cy="86772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48975" cy="867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l9v3nfp13y6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05: Collection Matcher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1029950" cy="85153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85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vk7e5dr3l7u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06: Collection Size Matcher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2039600" cy="8562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856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fh5mm2te09re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07: User, UserRepo, UserService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467975" cy="8020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67975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8324850" cy="2314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1972925" cy="4819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29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bvcq9jhiuv43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08: Demo Mockito Test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1696700" cy="59150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0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2753975" cy="727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3975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qaaw1ez23dz8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09: In the context of Automation Testing, how does the Page Object Model (POM) improve test maintainability?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 abstracts UI elements as objects in separate classes, which isolates changes in the UI from the test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9yjdjs667ee0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10: In a Page Object Model (POM) framework, where should test data ideally reside?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In external files such as JSON, Excel, or property files to separate logic from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wkf8dsxxxa6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11: A team is building a Page Object Model (POM) automation framework. However, they observe test failures due to frequent changes in UI locators across environments. What should they focus on improving in their automation approach?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Store locators in external property files and abstract them within page classes to isolate UI changes.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v3xcm2j7x4hl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12: Why are mock objects commonly used in JUnit tests for services that call external APIs?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They simulate external APIs and allow testing of service logic in isolation without depending on actual API availability or response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q6d0z6pz5y2c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13: You’ve written a JUnit test for an API that sends email notifications. Running the test actually sends emails, causing issues. How should this be addressed?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the test logic with a mock that simulates email service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ncn14ichrz8d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14: Which of the following best describes the role of test suites in JUnit?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suites allow grouping multiple test classes and running them together, often used for regression or integration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64yxeau33eiz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15: Why are mock objects used in JUnit testing, especially in enterprise applications?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They replace real dependencies like databases or web services to test components in isolation and ensure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yi428f3aepul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16: What does the annotation @Disabled do in a JUnit test?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 marks a test case to be skipped during execution without deleting or commenting out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5nd4sccjp8l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17: What is the primary purpose of using assertions in JUnit tests?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Assertions define expected outcomes in tests and help automatically verify the correctness of code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f4tsq94etyui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18: What is one of the key differences between manual testing and automation testing from a scalability perspective?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Automation testing is ideal for scaling regression tests across builds and environments as scripts can run unattended.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mxm3bxag0ib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19: What is the purpose of the assertThat() method in conjunction with the Hamcrest library in JUnit?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It provides a more flexible and readable way to define expectations using matchers like containsString, hasItems,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ux169k2oqgfj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20: How does the concept of timeout help improve the reliability of test execution in JUnit?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Timeout helps identify tests that hang or take unusually long to execute, allowing early detection of performance issues.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