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sz w:val="56"/>
        </w:rPr>
        <w:t>API Cost &amp; Usage Report</w:t>
      </w:r>
    </w:p>
    <w:p>
      <w:pPr>
        <w:jc w:val="center"/>
      </w:pPr>
      <w:r>
        <w:rPr>
          <w:b w:val="0"/>
          <w:i/>
          <w:color w:val="6B7280"/>
          <w:sz w:val="26"/>
        </w:rPr>
        <w:t>Exzelon RA Agent — External API Spend per Provider &amp; the Cost Impact of Job Filters</w:t>
      </w:r>
    </w:p>
    <w:p>
      <w:pPr>
        <w:jc w:val="center"/>
      </w:pPr>
      <w:r>
        <w:rPr>
          <w:b w:val="0"/>
          <w:i w:val="0"/>
          <w:color w:val="6B7280"/>
          <w:sz w:val="20"/>
        </w:rPr>
        <w:t>Data source: production cost_entries  |  Period: 2026-03-21 to 2026-05-23 (~2 months)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Across the snapshot period, the platform recorded $201.75 of tracked external-API spend over 10,671 API calls returning 213,670 results. SerpAPI and SearchAPI alone account for ~78% of cost despite being a minority of calls, because they carry the highest per-request rates.</w:t>
      </w:r>
    </w:p>
    <w:p>
      <w:pPr>
        <w:pStyle w:val="ListBullet"/>
      </w:pPr>
      <w:r>
        <w:rPr>
          <w:b/>
        </w:rPr>
        <w:t xml:space="preserve">Top spenders — </w:t>
      </w:r>
      <w:r>
        <w:t>Highest spend: SerpAPI ($108.60, 54%) and SearchAPI ($49.12, 24%).</w:t>
      </w:r>
    </w:p>
    <w:p>
      <w:pPr>
        <w:pStyle w:val="ListBullet"/>
      </w:pPr>
      <w:r>
        <w:rPr>
          <w:b/>
        </w:rPr>
        <w:t xml:space="preserve">Best value — </w:t>
      </w:r>
      <w:r>
        <w:t>Cheapest at volume: JSearch and Adzuna (generous free tiers, low per-request rates).</w:t>
      </w:r>
    </w:p>
    <w:p>
      <w:pPr>
        <w:pStyle w:val="ListBullet"/>
      </w:pPr>
      <w:r>
        <w:rPr>
          <w:b/>
        </w:rPr>
        <w:t xml:space="preserve">Blind spots (now fixed) — </w:t>
      </w:r>
      <w:r>
        <w:t>Until this release, only job-board sourcing was tracked. Contact-discovery, email-validation, and AI/LLM costs were NOT recorded — likely the largest untracked spend (15,989 contacts were enriched with $0 recorded).</w:t>
      </w:r>
    </w:p>
    <w:p>
      <w:pPr>
        <w:pStyle w:val="Heading1"/>
      </w:pPr>
      <w:r>
        <w:t>2. Total API Cost per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814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36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API Calls</w:t>
            </w:r>
          </w:p>
        </w:tc>
        <w:tc>
          <w:tcPr>
            <w:tcW w:type="dxa" w:w="136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Results</w:t>
            </w:r>
          </w:p>
        </w:tc>
        <w:tc>
          <w:tcPr>
            <w:tcW w:type="dxa" w:w="1474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1474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SerpAPI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Lead sourcing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2,325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16,549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$108.60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$0.05/req</w:t>
            </w:r>
          </w:p>
        </w:tc>
      </w:tr>
      <w:tr>
        <w:tc>
          <w:tcPr>
            <w:tcW w:type="dxa" w:w="1814"/>
            <w:shd w:fill="F3F4F6"/>
          </w:tcPr>
          <w:p>
            <w:r/>
            <w:r>
              <w:rPr>
                <w:b w:val="0"/>
                <w:sz w:val="18"/>
              </w:rPr>
              <w:t>SearchAPI</w:t>
            </w:r>
          </w:p>
        </w:tc>
        <w:tc>
          <w:tcPr>
            <w:tcW w:type="dxa" w:w="1814"/>
            <w:shd w:fill="F3F4F6"/>
          </w:tcPr>
          <w:p>
            <w:r/>
            <w:r>
              <w:rPr>
                <w:b w:val="0"/>
                <w:sz w:val="18"/>
              </w:rPr>
              <w:t>Lead sourcing</w:t>
            </w:r>
          </w:p>
        </w:tc>
        <w:tc>
          <w:tcPr>
            <w:tcW w:type="dxa" w:w="1361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1,228</w:t>
            </w:r>
          </w:p>
        </w:tc>
        <w:tc>
          <w:tcPr>
            <w:tcW w:type="dxa" w:w="1361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9,173</w:t>
            </w:r>
          </w:p>
        </w:tc>
        <w:tc>
          <w:tcPr>
            <w:tcW w:type="dxa" w:w="1474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$49.12</w:t>
            </w:r>
          </w:p>
        </w:tc>
        <w:tc>
          <w:tcPr>
            <w:tcW w:type="dxa" w:w="1474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$0.04/req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Apollo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Lead sourcing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3,713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161,018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$37.13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$0.01/req</w:t>
            </w:r>
          </w:p>
        </w:tc>
      </w:tr>
      <w:tr>
        <w:tc>
          <w:tcPr>
            <w:tcW w:type="dxa" w:w="1814"/>
            <w:shd w:fill="F3F4F6"/>
          </w:tcPr>
          <w:p>
            <w:r/>
            <w:r>
              <w:rPr>
                <w:b w:val="0"/>
                <w:sz w:val="18"/>
              </w:rPr>
              <w:t>Adzuna</w:t>
            </w:r>
          </w:p>
        </w:tc>
        <w:tc>
          <w:tcPr>
            <w:tcW w:type="dxa" w:w="1814"/>
            <w:shd w:fill="F3F4F6"/>
          </w:tcPr>
          <w:p>
            <w:r/>
            <w:r>
              <w:rPr>
                <w:b w:val="0"/>
                <w:sz w:val="18"/>
              </w:rPr>
              <w:t>Lead sourcing</w:t>
            </w:r>
          </w:p>
        </w:tc>
        <w:tc>
          <w:tcPr>
            <w:tcW w:type="dxa" w:w="1361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1,384</w:t>
            </w:r>
          </w:p>
        </w:tc>
        <w:tc>
          <w:tcPr>
            <w:tcW w:type="dxa" w:w="1361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3,379</w:t>
            </w:r>
          </w:p>
        </w:tc>
        <w:tc>
          <w:tcPr>
            <w:tcW w:type="dxa" w:w="1474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$3.83</w:t>
            </w:r>
          </w:p>
        </w:tc>
        <w:tc>
          <w:tcPr>
            <w:tcW w:type="dxa" w:w="1474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$0.004/req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JSearch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Lead sourcing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1,968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23,551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$3.07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$0.005/req</w:t>
            </w:r>
          </w:p>
        </w:tc>
      </w:tr>
      <w:tr>
        <w:tc>
          <w:tcPr>
            <w:tcW w:type="dxa" w:w="1814"/>
            <w:shd w:fill="F3F4F6"/>
          </w:tcPr>
          <w:p>
            <w:r/>
            <w:r>
              <w:rPr>
                <w:b w:val="0"/>
                <w:sz w:val="18"/>
              </w:rPr>
              <w:t>TheirStack</w:t>
            </w:r>
          </w:p>
        </w:tc>
        <w:tc>
          <w:tcPr>
            <w:tcW w:type="dxa" w:w="1814"/>
            <w:shd w:fill="F3F4F6"/>
          </w:tcPr>
          <w:p>
            <w:r/>
            <w:r>
              <w:rPr>
                <w:b w:val="0"/>
                <w:sz w:val="18"/>
              </w:rPr>
              <w:t>Lead sourcing</w:t>
            </w:r>
          </w:p>
        </w:tc>
        <w:tc>
          <w:tcPr>
            <w:tcW w:type="dxa" w:w="1361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361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74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$0.00</w:t>
            </w:r>
          </w:p>
        </w:tc>
        <w:tc>
          <w:tcPr>
            <w:tcW w:type="dxa" w:w="1474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$0.005/req</w:t>
            </w:r>
          </w:p>
        </w:tc>
      </w:tr>
      <w:tr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NPI Registry</w:t>
            </w:r>
          </w:p>
        </w:tc>
        <w:tc>
          <w:tcPr>
            <w:tcW w:type="dxa" w:w="1814"/>
            <w:shd w:fill="FFFFFF"/>
          </w:tcPr>
          <w:p>
            <w:r/>
            <w:r>
              <w:rPr>
                <w:b w:val="0"/>
                <w:sz w:val="18"/>
              </w:rPr>
              <w:t>Lead sourcing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$0.00</w:t>
            </w:r>
          </w:p>
        </w:tc>
        <w:tc>
          <w:tcPr>
            <w:tcW w:type="dxa" w:w="1474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Free</w:t>
            </w:r>
          </w:p>
        </w:tc>
      </w:tr>
      <w:tr>
        <w:tc>
          <w:tcPr>
            <w:tcW w:type="dxa" w:w="1814"/>
            <w:shd w:fill="E5EDF5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814"/>
            <w:shd w:fill="E5EDF5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1361"/>
            <w:shd w:fill="E5EDF5"/>
          </w:tcPr>
          <w:p>
            <w:pPr>
              <w:jc w:val="right"/>
            </w:pPr>
            <w:r/>
            <w:r>
              <w:rPr>
                <w:b/>
                <w:sz w:val="18"/>
              </w:rPr>
              <w:t>10,671</w:t>
            </w:r>
          </w:p>
        </w:tc>
        <w:tc>
          <w:tcPr>
            <w:tcW w:type="dxa" w:w="1361"/>
            <w:shd w:fill="E5EDF5"/>
          </w:tcPr>
          <w:p>
            <w:pPr>
              <w:jc w:val="right"/>
            </w:pPr>
            <w:r/>
            <w:r>
              <w:rPr>
                <w:b/>
                <w:sz w:val="18"/>
              </w:rPr>
              <w:t>213,670</w:t>
            </w:r>
          </w:p>
        </w:tc>
        <w:tc>
          <w:tcPr>
            <w:tcW w:type="dxa" w:w="1474"/>
            <w:shd w:fill="E5EDF5"/>
          </w:tcPr>
          <w:p>
            <w:pPr>
              <w:jc w:val="right"/>
            </w:pPr>
            <w:r/>
            <w:r>
              <w:rPr>
                <w:b/>
                <w:sz w:val="18"/>
              </w:rPr>
              <w:t>$201.75</w:t>
            </w:r>
          </w:p>
        </w:tc>
        <w:tc>
          <w:tcPr>
            <w:tcW w:type="dxa" w:w="1474"/>
            <w:shd w:fill="E5EDF5"/>
          </w:tcPr>
          <w:p>
            <w:pPr>
              <w:jc w:val="right"/>
            </w:pPr>
            <w:r/>
            <w:r>
              <w:rPr>
                <w:b/>
                <w:sz w:val="18"/>
              </w:rPr>
              <w:t>—</w:t>
            </w:r>
          </w:p>
        </w:tc>
      </w:tr>
    </w:tbl>
    <w:p/>
    <w:p>
      <w:r>
        <w:rPr>
          <w:b/>
          <w:i w:val="0"/>
          <w:sz w:val="22"/>
        </w:rPr>
        <w:t>Three caveats about these figures:</w:t>
      </w:r>
    </w:p>
    <w:p>
      <w:pPr>
        <w:pStyle w:val="ListBullet"/>
      </w:pPr>
      <w:r>
        <w:rPr>
          <w:b/>
        </w:rPr>
        <w:t xml:space="preserve">Scope — </w:t>
      </w:r>
      <w:r>
        <w:t>Only the lead_sourcing category was populated. Contact discovery, email validation, and AI/LLM token costs were untracked (now instrumented — see §4).</w:t>
      </w:r>
    </w:p>
    <w:p>
      <w:pPr>
        <w:pStyle w:val="ListBullet"/>
      </w:pPr>
      <w:r>
        <w:rPr>
          <w:b/>
        </w:rPr>
        <w:t xml:space="preserve">Estimates — </w:t>
      </w:r>
      <w:r>
        <w:t>Costs are estimates from a hardcoded pricing table, not reconciled against provider invoices.</w:t>
      </w:r>
    </w:p>
    <w:p>
      <w:pPr>
        <w:pStyle w:val="ListBullet"/>
      </w:pPr>
      <w:r>
        <w:rPr>
          <w:b/>
        </w:rPr>
        <w:t xml:space="preserve">Free-tier skew — </w:t>
      </w:r>
      <w:r>
        <w:t>The free-tier deduction is applied per run rather than per month, so high-free-tier providers (JSearch, Adzuna) are understated; SerpAPI/SearchAPI are close to accurate.</w:t>
      </w:r>
    </w:p>
    <w:p>
      <w:pPr>
        <w:pStyle w:val="Heading1"/>
      </w:pPr>
      <w:r>
        <w:t>3. Do Job/Company Filters Reduce API Credits?</w:t>
      </w:r>
    </w:p>
    <w:p>
      <w:r>
        <w:rPr>
          <w:b w:val="0"/>
          <w:i w:val="0"/>
          <w:sz w:val="22"/>
        </w:rPr>
        <w:t>Short answer: it depends on the API layer. The ~1,100-company exclusion blocklist and the exclusion keywords are applied AFTER the job-board API responses arrive, so by themselves they do NOT save job-board credits — but they DO save downstream contact-discovery credits, which are the most expensive layer.</w:t>
      </w:r>
    </w:p>
    <w:p>
      <w:pPr>
        <w:pStyle w:val="Heading2"/>
      </w:pPr>
      <w:r>
        <w:t>Order of operations (lead sourcing → contact discovery)</w:t>
      </w:r>
    </w:p>
    <w:p>
      <w:r>
        <w:t>1. Job-board APIs are called  →  credits charged HERE (SerpAPI, SearchAPI, JSearch, Adzuna, TheirStack, Apollo).</w:t>
      </w:r>
    </w:p>
    <w:p>
      <w:r>
        <w:t>2. Results normalized + de-duplicated in memory.</w:t>
      </w:r>
    </w:p>
    <w:p>
      <w:r>
        <w:t>3. Exclusion KEYWORDS applied (Python filter).</w:t>
      </w:r>
    </w:p>
    <w:p>
      <w:r>
        <w:t>4. ~1,100-company BLOCKLIST applied (Python filter).</w:t>
      </w:r>
    </w:p>
    <w:p>
      <w:r>
        <w:t>5. Surviving leads stored in the database.</w:t>
      </w:r>
    </w:p>
    <w:p>
      <w:r>
        <w:t>6. Contact-discovery APIs called only on stored leads  →  credits charged HERE (Apollo/Seamless/Hunter/Snov/PDL enrichment).</w:t>
      </w:r>
    </w:p>
    <w:p>
      <w:pPr>
        <w:pStyle w:val="Heading2"/>
      </w:pPr>
      <w:r>
        <w:t>Effect by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51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API layer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Filters reduce credits?</w:t>
            </w:r>
          </w:p>
        </w:tc>
        <w:tc>
          <w:tcPr>
            <w:tcW w:type="dxa" w:w="3402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515"/>
            <w:shd w:fill="FFFFFF"/>
          </w:tcPr>
          <w:p>
            <w:r/>
            <w:r>
              <w:rPr>
                <w:b w:val="0"/>
                <w:sz w:val="18"/>
              </w:rPr>
              <w:t>Job boards (SerpAPI, SearchAPI, JSearch, Adzuna, TheirStack)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b w:val="0"/>
                <w:sz w:val="18"/>
              </w:rPr>
              <w:t>Not by themselves</w:t>
            </w:r>
          </w:p>
        </w:tc>
        <w:tc>
          <w:tcPr>
            <w:tcW w:type="dxa" w:w="3402"/>
            <w:shd w:fill="FFFFFF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Filters run after the call; the credit is already spent.</w:t>
            </w:r>
          </w:p>
        </w:tc>
      </w:tr>
      <w:tr>
        <w:tc>
          <w:tcPr>
            <w:tcW w:type="dxa" w:w="3515"/>
            <w:shd w:fill="F3F4F6"/>
          </w:tcPr>
          <w:p>
            <w:r/>
            <w:r>
              <w:rPr>
                <w:b w:val="0"/>
                <w:sz w:val="18"/>
              </w:rPr>
              <w:t>Contact discovery (Apollo/Seamless/Hunter/Snov/PDL)</w:t>
            </w:r>
          </w:p>
        </w:tc>
        <w:tc>
          <w:tcPr>
            <w:tcW w:type="dxa" w:w="2268"/>
            <w:shd w:fill="F3F4F6"/>
          </w:tcPr>
          <w:p>
            <w:r/>
            <w:r>
              <w:rPr>
                <w:b w:val="0"/>
                <w:sz w:val="18"/>
              </w:rPr>
              <w:t>Yes — significantly</w:t>
            </w:r>
          </w:p>
        </w:tc>
        <w:tc>
          <w:tcPr>
            <w:tcW w:type="dxa" w:w="3402"/>
            <w:shd w:fill="F3F4F6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Excluded companies never become leads, so they never trigger 1–4 enrichment calls each.</w:t>
            </w:r>
          </w:p>
        </w:tc>
      </w:tr>
    </w:tbl>
    <w:p/>
    <w:p>
      <w:r>
        <w:rPr>
          <w:b/>
          <w:i w:val="0"/>
          <w:sz w:val="22"/>
        </w:rPr>
        <w:t>Practical takeaway: keep the exclusion lists — they directly cut your most expensive (previously invisible) spend, contact enrichment. To cut job-board credits specifically, the levers are fewer queries (titles × locations × pages), a tighter posted-within window, lower page caps, and shifting volume away from SerpAPI/SearchAPI toward JSearch/Adzuna/Jooble/USAJOBS.</w:t>
      </w:r>
    </w:p>
    <w:p>
      <w:pPr>
        <w:pStyle w:val="Heading1"/>
      </w:pPr>
      <w:r>
        <w:t>4. Improvements Shipped in This Release</w:t>
      </w:r>
    </w:p>
    <w:p>
      <w:pPr>
        <w:pStyle w:val="Heading2"/>
      </w:pPr>
      <w:r>
        <w:t>(a) Query-side negative-keyword filtering</w:t>
      </w:r>
    </w:p>
    <w:p>
      <w:r>
        <w:rPr>
          <w:b w:val="0"/>
          <w:i w:val="0"/>
          <w:sz w:val="22"/>
        </w:rPr>
        <w:t>Exclusion keywords are now pushed INTO the upstream query where the source supports it, so excluded postings are filtered server-side instead of fetched-then-discarded. This reduces wasted result volume and, for paginated sources, can reduce the number of paid calls.</w:t>
      </w:r>
    </w:p>
    <w:p>
      <w:pPr>
        <w:pStyle w:val="ListBullet"/>
      </w:pPr>
      <w:r>
        <w:rPr>
          <w:b/>
        </w:rPr>
        <w:t xml:space="preserve">JSearch &amp; SerpAPI — </w:t>
      </w:r>
      <w:r>
        <w:t>Google-style negative terms appended to the query (e.g. -intern -"staffing agency").</w:t>
      </w:r>
    </w:p>
    <w:p>
      <w:pPr>
        <w:pStyle w:val="ListBullet"/>
      </w:pPr>
      <w:r>
        <w:rPr>
          <w:b/>
        </w:rPr>
        <w:t xml:space="preserve">Adzuna — </w:t>
      </w:r>
      <w:r>
        <w:t>Native what_exclude request parameter.</w:t>
      </w:r>
    </w:p>
    <w:p>
      <w:pPr>
        <w:pStyle w:val="ListBullet"/>
      </w:pPr>
      <w:r>
        <w:rPr>
          <w:b/>
        </w:rPr>
        <w:t xml:space="preserve">Safety — </w:t>
      </w:r>
      <w:r>
        <w:t>The local filter still runs as a backstop; toggle via the push_exclusions_to_query setting (default on).</w:t>
      </w:r>
    </w:p>
    <w:p>
      <w:pPr>
        <w:pStyle w:val="Heading2"/>
      </w:pPr>
      <w:r>
        <w:t>(b) Contact-discovery cost tracking</w:t>
      </w:r>
    </w:p>
    <w:p>
      <w:r>
        <w:rPr>
          <w:b w:val="0"/>
          <w:i w:val="0"/>
          <w:sz w:val="22"/>
        </w:rPr>
        <w:t>The contact-enrichment pipeline now records a CostEntry per provider (category = contact_discovery) using the per-adapter call/result counts it already collects — closing the biggest blind spot in the old report.</w:t>
      </w:r>
    </w:p>
    <w:p>
      <w:pPr>
        <w:pStyle w:val="Heading2"/>
      </w:pPr>
      <w:r>
        <w:t>(c) AI/LLM cost tracking</w:t>
      </w:r>
    </w:p>
    <w:p>
      <w:r>
        <w:rPr>
          <w:b w:val="0"/>
          <w:i w:val="0"/>
          <w:sz w:val="22"/>
        </w:rPr>
        <w:t>Every AI call now records token-based cost (category = ai) from the provider's reported usage, across OpenAI, Anthropic, Gemini, and Groq (Groq = free tier). The amount column was widened to 6 decimal places so sub-cent per-call costs are no longer truncated to $0.00. All new costs surface automatically in the existing /analytics/costs/per-source dashboard.</w:t>
      </w:r>
    </w:p>
    <w:p/>
    <w:p>
      <w:pPr>
        <w:jc w:val="center"/>
      </w:pPr>
      <w:r>
        <w:rPr>
          <w:b w:val="0"/>
          <w:i/>
          <w:color w:val="6B7280"/>
          <w:sz w:val="18"/>
        </w:rPr>
        <w:t>Generated by scripts/generate_api_cost_report.py — pricing is configurable via the Settings key provider_pricing (job/contact) and ai_model_pricing (AI).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