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Candidate–Job Matching Engine</w:t>
      </w:r>
    </w:p>
    <w:p>
      <w:pPr>
        <w:spacing w:after="40"/>
      </w:pPr>
      <w:r>
        <w:rPr>
          <w:color w:val="2E75B6"/>
          <w:sz w:val="26"/>
          <w:szCs w:val="26"/>
        </w:rPr>
        <w:t xml:space="preserve">Attaching best-fit, actively-looking candidates (fit &gt; 80%) to every sourced job</w:t>
      </w:r>
    </w:p>
    <w:p>
      <w:pPr>
        <w:spacing w:after="40"/>
      </w:pPr>
      <w:r>
        <w:rPr>
          <w:color w:val="595959"/>
          <w:sz w:val="22"/>
          <w:szCs w:val="22"/>
        </w:rPr>
        <w:t xml:space="preserve">Deep-research approach, cost model, architecture &amp; UX design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Exzelon RA Agent  ·  Planning &amp; Design Document  ·  v1.0  ·  2026-07-21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This document specifies a new capability for the Exzelon RA Agent: for each sourced job posting (a hiring req at a target company), automatically find </w:t>
      </w:r>
      <w:r>
        <w:rPr>
          <w:b/>
          <w:bCs/>
        </w:rPr>
        <w:t xml:space="preserve">active, best-fit candidates</w:t>
      </w:r>
      <w:r>
        <w:t xml:space="preserve">, compute an explainable </w:t>
      </w:r>
      <w:r>
        <w:rPr>
          <w:b/>
          <w:bCs/>
        </w:rPr>
        <w:t xml:space="preserve">0–100 fit score</w:t>
      </w:r>
      <w:r>
        <w:t xml:space="preserve">, and surface only matches </w:t>
      </w:r>
      <w:r>
        <w:rPr>
          <w:b/>
          <w:bCs/>
        </w:rPr>
        <w:t xml:space="preserve">above 80%</w:t>
      </w:r>
      <w:r>
        <w:t xml:space="preserve"> — turning a one-sided lead list into a two-sided staffing marketplace. Ready candidates per open role is the single strongest accelerator of a staffing agency’s sales motion ("we already have 5 candidates &gt;80% fit for your role").</w:t>
      </w:r>
    </w:p>
    <w:p>
      <w:pPr>
        <w:spacing w:after="120" w:line="276"/>
      </w:pPr>
      <w:r>
        <w:t xml:space="preserve">The recommended design is a </w:t>
      </w:r>
      <w:r>
        <w:rPr>
          <w:b/>
          <w:bCs/>
        </w:rPr>
        <w:t xml:space="preserve">four-stage hybrid pipeline</w:t>
      </w:r>
      <w:r>
        <w:t xml:space="preserve"> (hard gates → cheap vector shortlist → cheap-LLM rubric re-score → calibrated fit score → threshold 80). It is the industry-standard "retrieve-then-rerank" cascade and is what keeps cost near zero: the expensive model only ever sees a pre-narrowed top-10 per job, never the full job×candidate cross-product.</w:t>
      </w:r>
    </w:p>
    <w:p>
      <w:pPr>
        <w:spacing w:after="120" w:line="276"/>
      </w:pPr>
      <w:r>
        <w:rPr>
          <w:b/>
          <w:bCs/>
        </w:rPr>
        <w:t xml:space="preserve">Headline cost: </w:t>
      </w:r>
      <w:r>
        <w:t xml:space="preserve">embeddings and vector search are $0 (self-hosted), and the LLM re-rank scores </w:t>
      </w:r>
      <w:r>
        <w:rPr>
          <w:b/>
          <w:bCs/>
        </w:rPr>
        <w:t xml:space="preserve">1,000 jobs for ≈ $1.70</w:t>
      </w:r>
      <w:r>
        <w:t xml:space="preserve"> on gpt-4.1-nano / Gemini Flash-Lite — or effectively </w:t>
      </w:r>
      <w:r>
        <w:rPr>
          <w:b/>
          <w:bCs/>
        </w:rPr>
        <w:t xml:space="preserve">$0 on the Groq free tier</w:t>
      </w:r>
      <w:r>
        <w:t xml:space="preserve">. The costly part is candidate DATA, minimised by using Indeed Smart Sourcing (~$3–4 per active candidate) for the bulk of non-IT roles and a low-cost API (PDL) only for the manager/professional slice.</w:t>
      </w:r>
    </w:p>
    <w:p>
      <w:pPr>
        <w:spacing w:after="120" w:line="276"/>
      </w:pPr>
      <w:r>
        <w:rPr>
          <w:b/>
          <w:bCs/>
        </w:rPr>
        <w:t xml:space="preserve">~85% of the build reuses existing infrastructure</w:t>
      </w:r>
      <w:r>
        <w:t xml:space="preserve"> (contact-discovery adapters, send-gate, campaign engine, mailboxes, email validation). Net-new work is a Candidate model, a Job–Candidate match table, an embeddings client, the matching pipeline, and the candidate UI.</w:t>
      </w:r>
    </w:p>
    <w:p>
      <w:pPr>
        <w:pStyle w:val="Heading1"/>
      </w:pPr>
      <w:r>
        <w:t xml:space="preserve">2. Business Context &amp; Objective</w:t>
      </w:r>
    </w:p>
    <w:p>
      <w:pPr>
        <w:spacing w:after="120" w:line="276"/>
      </w:pPr>
      <w:r>
        <w:t xml:space="preserve">Today the RA Agent sources job postings and pitches the </w:t>
      </w:r>
      <w:r>
        <w:rPr>
          <w:b/>
          <w:bCs/>
        </w:rPr>
        <w:t xml:space="preserve">hiring company</w:t>
      </w:r>
      <w:r>
        <w:t xml:space="preserve"> (the job poster / decision-maker) on Exzelon’s staffing services. This feature adds the </w:t>
      </w:r>
      <w:r>
        <w:rPr>
          <w:b/>
          <w:bCs/>
        </w:rPr>
        <w:t xml:space="preserve">supply side</w:t>
      </w:r>
      <w:r>
        <w:t xml:space="preserve">: for each open req, source and rank job-seekers who could fill it.</w:t>
      </w:r>
    </w:p>
    <w:p>
      <w:pPr>
        <w:pStyle w:val="Heading3"/>
      </w:pPr>
      <w:r>
        <w:t xml:space="preserve">Objective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 every job/lead, attach a ranked list of candidates with an explainable fit score, filtered to </w:t>
      </w:r>
      <w:r>
        <w:rPr>
          <w:b/>
          <w:bCs/>
        </w:rPr>
        <w:t xml:space="preserve">&gt; 80%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Prioritise candidates who are actively looking (open-to-work / recent activity).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Enable compliant outreach to matched candidates, reusing existing send infrastructure.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Achieve the above at minimum cost and minimum new infrastructure.</w:t>
      </w:r>
    </w:p>
    <w:p>
      <w:pPr>
        <w:pStyle w:val="Heading3"/>
      </w:pPr>
      <w:r>
        <w:t xml:space="preserve">ICP reminder (drives every data/source decision)</w:t>
      </w:r>
    </w:p>
    <w:p>
      <w:pPr>
        <w:spacing w:after="120" w:line="276"/>
      </w:pPr>
      <w:r>
        <w:t xml:space="preserve">Non-IT / mid-market roles at companies ≤ 200 employees: operations, manufacturing, construction, logistics/warehouse, HR, admin, finance/accounting managers, skilled trades, retail management. This ICP is decisive — it rules out IT-centric and B2B-sales data sources and favours resume-database sources with strong blue-collar/hourly coverage.</w:t>
      </w:r>
    </w:p>
    <w:p>
      <w:pPr>
        <w:pStyle w:val="Heading1"/>
      </w:pPr>
      <w:r>
        <w:t xml:space="preserve">3. Recommended Approach — Four-Stage Hybrid Pipeline</w:t>
      </w:r>
    </w:p>
    <w:p>
      <w:pPr>
        <w:spacing w:after="120" w:line="276"/>
      </w:pPr>
      <w:r>
        <w:t xml:space="preserve">Do not score every job against every candidate with an LLM (an O(n·m) blow-up). Instead cascade cheap→precise stages so the LLM only re-ranks a shortlist: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CANDIDATE + JOB TEXT  ──embed(bge-small, $0)──►  vectors in MySQL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(loaded to a numpy matrix)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PER JOB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┌─ Stage 0  HARD GATES (SQL WHERE) ─────────────────────────────────────────┐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│  work-auth · location/relocation · must-have skill · seniority floor ·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│  salary sanity        →  drops ineligible candidates, shrinks the pool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┌─ Stage 1  VECTOR SHORTLIST ────────────────────────────────────────────────┐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│  job_vec · candidate_matrix  (numpy matmul, &lt;10 ms)  →  cosine top-K (K≈10)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┌─ Stage 2  LLM RUBRIC RE-SCORE  (only K calls / job) ───────────────────────┐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│  cheap LLM (gpt-4.1-nano / Gemini Flash-Lite / Groq) with typed-JSON rubric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│  →  per-criterion sub-scores 0–1 + short rationale                     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┌─ Stage 3  DETERMINISTIC FIT SCORE (calibrated, explainable) ───────────────┐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│  weighted rubric → GATE CAPS → sigmoid spread → Platt calibration →    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│  bounded ±5 LLM nudge  →  fit_0_100 + contribution breakdown + confidence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OUTPUT   matches where  fit ≥ 80   with reasons-for / reasons-against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Why hybrid wins: </w:t>
      </w:r>
      <w:r>
        <w:t xml:space="preserve">a bi-encoder (embeddings) compresses each text independently — fast enough to scan the whole pool but loses cross-interaction; an LLM/cross-encoder reads the (job, candidate) pair jointly and is far more accurate but 10–100× more expensive per pair. Use the cheap encoder for recall, spend the expensive judge only on the top-K. This single decision cuts LLM calls ~500× versus scoring all pairs.</w:t>
      </w:r>
    </w:p>
    <w:p>
      <w:pPr>
        <w:pStyle w:val="Heading1"/>
      </w:pPr>
      <w:r>
        <w:t xml:space="preserve">4. Candidate Data Sourcing (Minimum Cost)</w:t>
      </w:r>
    </w:p>
    <w:p>
      <w:pPr>
        <w:spacing w:after="120" w:line="276"/>
      </w:pPr>
      <w:r>
        <w:t xml:space="preserve">The core tension: contact-ready candidate data WITH an "actively looking" signal is expensive; cheap sources are either employer-side (job ads) or lack the active signal. Pricing below is 2026, cited in the appendix.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2860"/>
        <w:gridCol w:w="1600"/>
        <w:gridCol w:w="1500"/>
        <w:gridCol w:w="17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+ active signal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Non-IT fit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Pricing (2026)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Indeed Smart Sourcing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Resume, contact, skills; strong active signal (recency + apply)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Excellent (largest US hourly/blue-collar/admin)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In-platform (msg credits)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~$3–4 per contacted candidate</w:t>
            </w:r>
          </w:p>
        </w:tc>
      </w:tr>
      <w:tr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Talroo TalentSync</w:t>
            </w:r>
          </w:p>
        </w:tc>
        <w:tc>
          <w:tcPr>
            <w:tcW w:type="dxa" w:w="2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First-party frontline/skilled-trades profiles; active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 for blue-collar/trades</w:t>
            </w:r>
          </w:p>
        </w:tc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API / hireEZ</w:t>
            </w:r>
          </w:p>
        </w:tc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Quote-based (enterprise)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People Data Labs (PDL)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Profile + contact; NO native active signal (infer job-change)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Broad; skews white-collar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 REST API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$0.20–0.28 / profile</w:t>
            </w:r>
          </w:p>
        </w:tc>
      </w:tr>
      <w:tr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Coresignal</w:t>
            </w:r>
          </w:p>
        </w:tc>
        <w:tc>
          <w:tcPr>
            <w:tcW w:type="dxa" w:w="2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Employee/candidate profile; no live active flag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White-collar-heavy</w:t>
            </w:r>
          </w:p>
        </w:tc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 API</w:t>
            </w:r>
          </w:p>
        </w:tc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$0.05–0.20 / record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LinkedIn Recruiter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#OpenToWork = gold-standard signal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Broad, white-collar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data API (InMail only)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$8,999–$15,000 / seat / yr</w:t>
            </w:r>
          </w:p>
        </w:tc>
      </w:tr>
      <w:tr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Apollo / RocketReach / Lusha</w:t>
            </w:r>
          </w:p>
        </w:tc>
        <w:tc>
          <w:tcPr>
            <w:tcW w:type="dxa" w:w="2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B2B sales contacts; NO job-seeker intent</w:t>
            </w:r>
          </w:p>
        </w:tc>
        <w:tc>
          <w:tcPr>
            <w:tcW w:type="dxa" w:w="1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Poor for blue-collar</w:t>
            </w:r>
          </w:p>
        </w:tc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Wrong data type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Proxycurl / Nubela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LinkedIn scrape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Shut down Jul 2025 (lawsuit)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Ranked recommendation (lowest-cost blended stack)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Indeed Smart Sourcing — PRIMARY.</w:t>
      </w:r>
      <w:r>
        <w:t xml:space="preserve"> Cheapest cost-per-active, non-IT/blue-collar candidate (~$3–4 each; ~$3–4k / 1,000). Contact is in-platform (message credits), which fits a match-to-req workflow.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Talroo TalentSync — blue-collar depth.</w:t>
      </w:r>
      <w:r>
        <w:t xml:space="preserve"> First-party, active frontline/trades profiles (the exact segment PDL/Apollo cover poorly). Quote-based; worthwhile only if blue-collar is a dominant LOB.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PDL API — programmatic top-up.</w:t>
      </w:r>
      <w:r>
        <w:t xml:space="preserve"> Only for manager/professional roles (HR, finance/accounting, ops leaders) where contact coverage is real. ~$200–280 / 1,000 profiles, but no active signal (infer from recent job change).</w:t>
      </w:r>
    </w:p>
    <w:p>
      <w:pPr>
        <w:pStyle w:val="Heading3"/>
      </w:pPr>
      <w:r>
        <w:t xml:space="preserve">Dead-ends &amp; ToS traps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Proxycurl/Nubela is DEAD</w:t>
      </w:r>
      <w:r>
        <w:t xml:space="preserve"> (shut down 2025-07-04 after LinkedIn+Microsoft suit). Scraper successors carry the same legal exposure — do not build on LinkedIn scraping (consistent with prior project findings).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LinkedIn #OpenToWork is the best signal but has no compliant data API</w:t>
      </w:r>
      <w:r>
        <w:t xml:space="preserve"> and costs $9–15k/seat/yr — great signal, wrong access/cost profile for automation.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Apollo/RocketReach/Lusha are the wrong data type</w:t>
      </w:r>
      <w:r>
        <w:t xml:space="preserve"> (B2B sales contacts, no job-seeker intent, little blue-collar contactability).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Google Cloud Talent Solution is a trap by name</w:t>
      </w:r>
      <w:r>
        <w:t xml:space="preserve"> — employer-side job-matching infra, not a candidate database.</w:t>
      </w:r>
    </w:p>
    <w:p>
      <w:pPr>
        <w:pStyle w:val="Heading1"/>
      </w:pPr>
      <w:r>
        <w:t xml:space="preserve">5. Fit-Scoring Methodology</w:t>
      </w:r>
    </w:p>
    <w:p>
      <w:pPr>
        <w:spacing w:after="120" w:line="276"/>
      </w:pPr>
      <w:r>
        <w:t xml:space="preserve">A calibrated, explainable 0–100 score built from seven weighted signals, capped by hard gates, spread to be discriminative, and calibrated against real outcomes. This is what makes "&gt;80%" trustworthy rather than noisy.</w:t>
      </w:r>
    </w:p>
    <w:p>
      <w:pPr>
        <w:pStyle w:val="Heading3"/>
      </w:pPr>
      <w:r>
        <w:t xml:space="preserve">5.1 Scoring rubric (defaults; expose weights as per-role overrides)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500"/>
        <w:gridCol w:w="2100"/>
        <w:gridCol w:w="900"/>
        <w:gridCol w:w="58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the 0–1 sub-score is computed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Skills overlap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28%</w:t>
            </w:r>
          </w:p>
        </w:tc>
        <w:tc>
          <w:tcPr>
            <w:tcW w:type="dxa" w:w="5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Must-have-weighted coverage (must-haves ~3× nice-to-have), matched semantically not by exact string</w:t>
            </w:r>
          </w:p>
        </w:tc>
      </w:tr>
      <w:tr>
        <w:tc>
          <w:tcPr>
            <w:tcW w:type="dxa" w:w="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Title / role match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22%</w:t>
            </w:r>
          </w:p>
        </w:tc>
        <w:tc>
          <w:tcPr>
            <w:tcW w:type="dxa" w:w="5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max(rescaled cosine, O*NET/ESCO taxonomy floor) — synonymous titles not punished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Seniority match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5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Asymmetric kernel exp(−a·under² − b·over²), a&gt;b (under-qualified penalised harder)</w:t>
            </w:r>
          </w:p>
        </w:tc>
      </w:tr>
      <w:tr>
        <w:tc>
          <w:tcPr>
            <w:tcW w:type="dxa" w:w="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5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Radius bands (≤25mi 1.0 · 25–50 0.7 · 50–100 0.4 · &gt;100 0.1); remote bypasses to 1.0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Industry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5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Tiered: exact 1.0 / adjacent 0.6 / unrelated 0.2</w:t>
            </w:r>
          </w:p>
        </w:tc>
      </w:tr>
      <w:tr>
        <w:tc>
          <w:tcPr>
            <w:tcW w:type="dxa" w:w="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Salary alignment</w:t>
            </w:r>
          </w:p>
        </w:tc>
        <w:tc>
          <w:tcPr>
            <w:tcW w:type="dxa" w:w="9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5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Band overlap of candidate expectation vs job band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Active-recency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5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exp(−ln2 · days_since_active / 30) — 30-day half-life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5.2 Combining formula (why &gt;80 becomes meaningful)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raw       = Σ wᵢ·sᵢ                        # weighted rubric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gate_cap  = min(cap per failed knockout)    # hard-fail→25, soft-fail→50, pass→100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spread    = sigmoid(k·(raw − m))            # k≈8, m≈0.62 : stretch the crowded middle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prob      = platt(spread)                   # logistic fit on historical hire/advance labels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fit       = round(100 · min(prob, gate_cap/100))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fit       = clamp(fit + llm_adjust, 0, gate_cap)   # llm_adjust ∈ [−5,+5], never crosses a gate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Hard gates</w:t>
      </w:r>
      <w:r>
        <w:t xml:space="preserve"> cap disqualified candidates (wrong city, missing must-have, no work-auth) BEFORE spreading — a great résumé in the wrong location cannot score 84.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Sigmoid/percentile spread</w:t>
      </w:r>
      <w:r>
        <w:t xml:space="preserve"> fixes the mid-range clustering that makes naïve weighted averages pile up at 60–75.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Platt calibration</w:t>
      </w:r>
      <w:r>
        <w:t xml:space="preserve"> against historical outcomes makes "&gt;80" literally mean "&gt;80% predicted fit", verifiable on a held-out set.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The LLM only nudges ±5 and never crosses a gate</w:t>
      </w:r>
      <w:r>
        <w:t xml:space="preserve"> — the deterministic score owns the number; the LLM adds qualitative nuance.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LLM-judge reliability: </w:t>
      </w:r>
      <w:r>
        <w:t xml:space="preserve">typed JSON schema, rubric decomposed into atomic 0–1 sub-scores, chain-of-thought before scoring (G-Eval), low temperature, few-shot anchors; recalibrate every 60–90 days against a 500+ human-labeled set.</w:t>
      </w:r>
    </w:p>
    <w:p>
      <w:pPr>
        <w:pStyle w:val="Heading3"/>
      </w:pPr>
      <w:r>
        <w:t xml:space="preserve">5.3 Explainability output (per match)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Fit 84/100 · Confidence High (92% complete) · Gates: ALL PASSED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Skills    0.93 ×28% = 26.0  ✓ 8/9 must-haves; missing Go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Title     0.88 ×22% = 19.4  ✓ "Sr DevOps" ≈ target (O*NET 15-1244)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Seniority 1.00 ×15% = 15.0  ✓ exact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Location  0.70 ×12% =  8.4  ⚠ 38 mi, hybrid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Industry  1.00 ×10% = 10.0  ✓ Fintech = Fintech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Salary    0.80 ×8%  =  6.4  ⚠ expects $145–160k vs $130–155k band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Recency   0.50 ×5%  =  2.5  ⚠ last active 30 d</w:t>
      </w:r>
    </w:p>
    <w:p>
      <w:pPr>
        <w:pStyle w:val="Heading1"/>
      </w:pPr>
      <w:r>
        <w:t xml:space="preserve">6. Cost Model</w:t>
      </w:r>
    </w:p>
    <w:p>
      <w:pPr>
        <w:spacing w:after="120" w:line="276"/>
      </w:pPr>
      <w:r>
        <w:t xml:space="preserve">Embeddings self-hosted = $0. Vector shortlist (numpy) = $0. Only the Stage-2 LLM re-rank costs money. Assume ~700 input + 250 output tokens per (job, candidate) call and top-10 re-rank = 10 calls/job → 10,000 calls per 1,000 jobs.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LLM re-ranker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/ job (×10 calls)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/ 1,000 jobs</w:t>
            </w:r>
          </w:p>
        </w:tc>
      </w:tr>
      <w:tr>
        <w:tc>
          <w:tcPr>
            <w:tcW w:type="dxa" w:w="3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Groq Llama-3.1-8B (paid)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$0.00055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$0.55</w:t>
            </w:r>
          </w:p>
        </w:tc>
      </w:tr>
      <w:tr>
        <w:tc>
          <w:tcPr>
            <w:tcW w:type="dxa" w:w="3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gpt-4.1-nano  (recommended)</w:t>
            </w:r>
          </w:p>
        </w:tc>
        <w:tc>
          <w:tcPr>
            <w:tcW w:type="dxa" w:w="2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$0.00170</w:t>
            </w:r>
          </w:p>
        </w:tc>
        <w:tc>
          <w:tcPr>
            <w:tcW w:type="dxa" w:w="2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$1.70</w:t>
            </w:r>
          </w:p>
        </w:tc>
      </w:tr>
      <w:tr>
        <w:tc>
          <w:tcPr>
            <w:tcW w:type="dxa" w:w="3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Gemini 2.5 Flash-Lite  (recommended)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$0.00170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$1.70</w:t>
            </w:r>
          </w:p>
        </w:tc>
      </w:tr>
      <w:tr>
        <w:tc>
          <w:tcPr>
            <w:tcW w:type="dxa" w:w="3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Groq Llama-3.3-70B (paid)</w:t>
            </w:r>
          </w:p>
        </w:tc>
        <w:tc>
          <w:tcPr>
            <w:tcW w:type="dxa" w:w="2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$0.00611</w:t>
            </w:r>
          </w:p>
        </w:tc>
        <w:tc>
          <w:tcPr>
            <w:tcW w:type="dxa" w:w="2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$6.11</w:t>
            </w:r>
          </w:p>
        </w:tc>
      </w:tr>
      <w:tr>
        <w:tc>
          <w:tcPr>
            <w:tcW w:type="dxa" w:w="3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gpt-4.1-mini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$0.00680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$6.80</w:t>
            </w:r>
          </w:p>
        </w:tc>
      </w:tr>
      <w:tr>
        <w:tc>
          <w:tcPr>
            <w:tcW w:type="dxa" w:w="3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$0.0195</w:t>
            </w:r>
          </w:p>
        </w:tc>
        <w:tc>
          <w:tcPr>
            <w:tcW w:type="dxa" w:w="28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$19.50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Recommended: gpt-4.1-nano or Gemini 2.5 Flash-Lite at $1.70 / 1,000 jobs</w:t>
      </w:r>
      <w:r>
        <w:t xml:space="preserve"> (strong JSON, huge context). Prompt-caching the static ~700-token rubric prefix cuts this further.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Free option: Groq free tier</w:t>
      </w:r>
      <w:r>
        <w:t xml:space="preserve"> (~30 RPM / 14,400 req/day ≈ 1,440 jobs/day at $0) for low-volume or MVP.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alternative — LLM over every pair — is O(n·m): 1,000 jobs × 5,000 candidates ≈ 5,000,000 calls ≈ $850–$9,750 per pass and days of compute. The shortlist collapses that to 10,000 calls (~500× cheaper).</w:t>
      </w:r>
    </w:p>
    <w:p>
      <w:pPr>
        <w:spacing w:after="120" w:line="276"/>
      </w:pPr>
      <w:r>
        <w:rPr>
          <w:b/>
          <w:bCs/>
        </w:rPr>
        <w:t xml:space="preserve">Bottom line: </w:t>
      </w:r>
      <w:r>
        <w:t xml:space="preserve">the matching engine’s marginal compute cost is ≈ $1.70 per 1,000 jobs (or $0 on Groq free tier). The real budget line is candidate data acquisition (Section 4).</w:t>
      </w:r>
    </w:p>
    <w:p>
      <w:pPr>
        <w:pStyle w:val="Heading1"/>
      </w:pPr>
      <w:r>
        <w:t xml:space="preserve">7. System Architecture &amp; Codebase Integration</w:t>
      </w:r>
    </w:p>
    <w:p>
      <w:pPr>
        <w:spacing w:after="120" w:line="276"/>
      </w:pPr>
      <w:r>
        <w:t xml:space="preserve">The feature slots into the existing pipeline between lead sourcing and outreach, and reuses the current adapter / send-gate / campaign infrastructure.</w:t>
      </w:r>
    </w:p>
    <w:p>
      <w:pPr>
        <w:pStyle w:val="Heading3"/>
      </w:pPr>
      <w:r>
        <w:t xml:space="preserve">7.1 Pipeline placement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Lead Sourcing ─► Candidate Matching (NEW) ─► Contact Enrichment ─► Email Validation ─► Outreach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                 • embed + shortlist + score            (hiring managers)      (both recipient types)</w:t>
      </w:r>
    </w:p>
    <w:p>
      <w:pPr>
        <w:spacing w:after="0" w:line="200"/>
      </w:pPr>
      <w:r>
        <w:rPr>
          <w:rFonts w:ascii="Consolas" w:cs="Consolas" w:eastAsia="Consolas" w:hAnsi="Consolas"/>
          <w:sz w:val="16"/>
          <w:szCs w:val="16"/>
        </w:rPr>
        <w:t xml:space="preserve">                 • attach matches &gt; 80% to each lead</w:t>
      </w:r>
    </w:p>
    <w:p>
      <w:pPr>
        <w:pStyle w:val="Heading3"/>
      </w:pPr>
      <w:r>
        <w:t xml:space="preserve">7.2 New data 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candidates</w:t>
      </w:r>
      <w:r>
        <w:t xml:space="preserve"> — candidate_id, tenant_id, name, email (unique/tenant), phone, current_title/company/industry, target_titles, seniority_level, employment_status, skills_json, resume_url, linkedin_url, location_state/city, source, source_id, validation_status, outreach_status, data_type.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job_candidate_matches</w:t>
      </w:r>
      <w:r>
        <w:t xml:space="preserve"> — match_id, tenant_id, lead_id (FK), candidate_id (FK), fit_score (0–100), fit_breakdown_json, reasoning, matching_run_id, status (pending/matched/outreach_sent/replied/archived); indexes on (tenant_id, lead_id), (tenant_id, candidate_id), (tenant_id, status).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lead_details.job_description</w:t>
      </w:r>
      <w:r>
        <w:t xml:space="preserve"> — add a LONGTEXT column (needed for semantic matching; capture from job sources where available). Migrate via the existing main.py lifespan ALTER pattern.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Embeddings</w:t>
      </w:r>
      <w:r>
        <w:t xml:space="preserve"> — store float32 vectors as a BLOB/VECTOR column in MySQL; load to a normalised numpy matrix at process start. MySQL 9 Community can STORE vectors but cannot run distance search (HeatWave-only), so similarity math runs in Python (numpy matmul) — no new DB engine.</w:t>
      </w:r>
    </w:p>
    <w:p>
      <w:pPr>
        <w:pStyle w:val="Heading3"/>
      </w:pPr>
      <w:r>
        <w:t xml:space="preserve">7.3 Reuse vs net-new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4160"/>
        <w:gridCol w:w="35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Reuse (existing)</w:t>
            </w:r>
          </w:p>
        </w:tc>
        <w:tc>
          <w:tcPr>
            <w:tcW w:type="dxa" w:w="3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Net-new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Candidate sourcing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contact_discovery adapters (PDL, Apollo, Proxycurl-class) with a candidate-oriented filter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candidate_source factory + Indeed/Talroo adapter</w:t>
            </w:r>
          </w:p>
        </w:tc>
      </w:tr>
      <w:tr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Embeddings</w:t>
            </w:r>
          </w:p>
        </w:tc>
        <w:tc>
          <w:tcPr>
            <w:tcW w:type="dxa" w:w="41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bge-small (self-host) or OpenAI/Voyage embeddings client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MySQL storage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numpy brute-force shortlist (FAISS only &gt;100k vectors)</w:t>
            </w:r>
          </w:p>
        </w:tc>
      </w:tr>
      <w:tr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Scoring</w:t>
            </w:r>
          </w:p>
        </w:tc>
        <w:tc>
          <w:tcPr>
            <w:tcW w:type="dxa" w:w="41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adapters (OpenAI/Gemini/Groq JSON)</w:t>
            </w:r>
          </w:p>
        </w:tc>
        <w:tc>
          <w:tcPr>
            <w:tcW w:type="dxa" w:w="3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rubric + gate/spread/Platt calibration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Outreach to candidates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send_gate, campaign_engine, mailboxes, humanizer, email validation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recipient_type flag + candidate email templates + suppression</w:t>
            </w:r>
          </w:p>
        </w:tc>
      </w:tr>
      <w:tr>
        <w:tc>
          <w:tcPr>
            <w:tcW w:type="dxa" w:w="1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Settings/UI</w:t>
            </w:r>
          </w:p>
        </w:tc>
        <w:tc>
          <w:tcPr>
            <w:tcW w:type="dxa" w:w="41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settings tab + roles pattern</w:t>
            </w:r>
          </w:p>
        </w:tc>
        <w:tc>
          <w:tcPr>
            <w:tcW w:type="dxa" w:w="3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candidate_matching settings + Candidates UI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Effort estimate: </w:t>
      </w:r>
      <w:r>
        <w:t xml:space="preserve">~1,500 LOC net-new + ~500 LOC of light modifications; roughly 85% of the outreach/sourcing plumbing is reused.</w:t>
      </w:r>
    </w:p>
    <w:p>
      <w:pPr>
        <w:pStyle w:val="Heading1"/>
      </w:pPr>
      <w:r>
        <w:t xml:space="preserve">8. User-Friendly Design (UX/UI)</w:t>
      </w:r>
    </w:p>
    <w:p>
      <w:pPr>
        <w:spacing w:after="120" w:line="276"/>
      </w:pPr>
      <w:r>
        <w:t xml:space="preserve">Synthesised from LinkedIn Recruiter, SeekOut, hireEZ, Gem, Loxo, Bullhorn, Findem, Ashby. Two guiding findings: (1) pair a coarse tier with an optional precise %, and (2) explainability is the #1 differentiator — never ship a black-box score.</w:t>
      </w:r>
    </w:p>
    <w:p>
      <w:pPr>
        <w:pStyle w:val="Heading3"/>
      </w:pPr>
      <w:r>
        <w:t xml:space="preserve">8.1 Per-lead "Candidates" panel (master–detail)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┌─ Lead: Sr. Accountant — Acme Mfg (Dallas, TX)      [Job ▸ Contacts ▸ Candidates] ┐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Filters: Fit ≥ [===●==] 80  Location[Dallas ▾]  ☑ Open-to-work  Seniority[Any ▾]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Tiers: ● Strong 6   ◐ Good 14   ○ Partial 41        Sort[Fit% ▾]      [Clear]   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┌ Ranked candidates (61) ─────────────┐  ┌ Detail: Jordan Lee ───────────[X] ┐ 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│ ☐ ●92 Strong  Jordan Lee  🟢 Open    │  │ ●92/100  Strong fit                │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│ ☐ ●88 Strong  Priya N.    🟢 Open    │  │ ─ Why this fits ─────────────────  │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│ ☐ ◐79 Good    Marcus B.              │  │ ✓ Title: Sr Accountant  (exact)    │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│ ☐ ◐74 Good    Dana K.  ⚡ Likely reply│ │ ✓ Skills: GAAP, SOX, NetSuite 5/6  │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│ ...                                  │  │ ◐ Seniority 7 yrs (target 5–8)     │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│                                      │  │ ✗ Missing: CPA license             │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│                                      │  │ [◀ Prev][Shortlist ★][Add campaign]│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└──────────────────────────────────────┘  └────────────────────────────────────┘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Bulk (3): [★ Shortlist] [✉ Add to candidate campaign] [✕ Dismiss] [⤢ Compare]   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8.2 Candidate card (with explainability)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☐  ●92 Strong   Jordan Lee            🟢 Open  ⚡ Likely reply        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   Sr. Accountant · Dallas, TX · 7 yrs                                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│    [GAAP ✓] [SOX ✓] [NetSuite ✓] [CPA ✗]     [★ Shortlist] [✉] [✕]     │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4"/>
          <w:szCs w:val="14"/>
        </w:rPr>
        <w:t xml:space="preserve">  hover/focus popover → Title ✓ · Skills 5/6 ✓ · Seniority ◐ · Location ✓ · CPA ✗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8.3 Cross-job "Candidate Pool"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Table of candidates × best-matched job with fit, "+N other matches", status, quick actions; toggle to a Kanban by status (New · Shortlisted · Contacted · Replied · Dismissed).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Surfacing "matches N jobs" prevents double-contacting one person across reqs and helps place them against the best-fit role.</w:t>
      </w:r>
    </w:p>
    <w:p>
      <w:pPr>
        <w:pStyle w:val="Heading3"/>
      </w:pPr>
      <w:r>
        <w:t xml:space="preserve">8.4 Key design rules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Fit badge = icon + number + label together</w:t>
      </w:r>
      <w:r>
        <w:t xml:space="preserve"> (never colour alone). Blue→orange scale, not red-green. Strong ● / Good ◐ / Partial 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Hard filters vs weighted criteria</w:t>
      </w:r>
      <w:r>
        <w:t xml:space="preserve"> (Gem’s model): filters set the eligible pool; criteria rank it; a live pool-size preview prevents "filtered to zero".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Explainability everywhere</w:t>
      </w:r>
      <w:r>
        <w:t xml:space="preserve"> — per-criterion ✓/◐/✗ with plain-language reasons and a Missing-Skills callout; matched keywords highlighted in the résumé timeline.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Shortlist + one-click outreach in the same surface</w:t>
      </w:r>
      <w:r>
        <w:t xml:space="preserve">; bulk actions on the filtered / "Yes" set; a side-by-side compare table (an unmet gap across competitors).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Calibration loop</w:t>
      </w:r>
      <w:r>
        <w:t xml:space="preserve"> — a lightweight per-card Yes/No/Maybe with reason capture feeds score retraining.</w:t>
      </w:r>
    </w:p>
    <w:p>
      <w:pPr>
        <w:pStyle w:val="Heading3"/>
      </w:pPr>
      <w:r>
        <w:t xml:space="preserve">8.5 Accessibility &amp; responsive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Color-blind-safe scores (WCAG 1.4.1): number-as-text + shape + label; blue-orange palette; ≥3:1 lightness between tiers.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Detail drawer = APG modal dialog: aria-modal, focus trap, Esc closes, focus returns to the card; icon-only buttons get aria-labels; badge aria-label "Match fit: 92 of 100, Strong".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Score popover holds focusable content → non-modal dialog (not role="tooltip"); keyboard-triggerable, dismissible, hoverable.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Responsive master-detail: side-by-side wide; list-OR-detail with Back at tablet/phone; drawer becomes a full-screen sheet on mobile; wide tables scroll inside overflow-x-auto with min-w-0. Touch targets ≥ 44px.</w:t>
      </w:r>
    </w:p>
    <w:p>
      <w:pPr>
        <w:pStyle w:val="Heading1"/>
      </w:pPr>
      <w:r>
        <w:t xml:space="preserve">9. Compliance &amp; Risk</w:t>
      </w:r>
    </w:p>
    <w:p>
      <w:pPr>
        <w:spacing w:after="120" w:line="276"/>
      </w:pPr>
      <w:r>
        <w:rPr>
          <w:i/>
          <w:iCs/>
        </w:rPr>
        <w:t xml:space="preserve">Research synthesis, not legal advice — have counsel review the SMS-consent flow and the CCPA "sale/sharing" analysis before launch.</w:t>
      </w:r>
    </w:p>
    <w:p>
      <w:pPr>
        <w:pStyle w:val="Heading3"/>
      </w:pPr>
      <w:r>
        <w:t xml:space="preserve">9.1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CAN-SPAM (email): </w:t>
      </w:r>
      <w:r>
        <w:t xml:space="preserve">real sender identity, non-deceptive subject, valid physical postal address, clear commercial disclosure (no B2B exemption), one-click opt-out live ≥30 days honored ≤10 business days. Penalty up to ~$53,088 per email.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TCPA (SMS/calls): </w:t>
      </w:r>
      <w:r>
        <w:t xml:space="preserve">do NOT cold-text sourced candidates without prior express written consent; restrict marketing SMS to opted-in (applied/replied); honor STOP/HELP + quiet hours. $500–$1,500 per message, private right of action. (The FCC "one-to-one consent" rule was vacated Jan 2025; the written-consent requirement still stands.)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CCPA/CPRA + ~20 state laws: </w:t>
      </w:r>
      <w:r>
        <w:t xml:space="preserve">serve a notice at collection (applicant data has been fully in scope since Jan 2023); provide "Do Not Sell/Share" and honor Global Privacy Control (mandatory in 12 states from Jan 1, 2026); do not use sensitive PI for outreach.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GDPR (EU candidates): </w:t>
      </w:r>
      <w:r>
        <w:t xml:space="preserve">complete a Legitimate Interest Assessment; serve an Article 14 notice at first contact; check member-state ePrivacy email rules.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Governance: </w:t>
      </w:r>
      <w:r>
        <w:t xml:space="preserve">a global permanent suppression list (opt-outs/STOP/bounces/complaints) across all campaigns/mailboxes/tenants; data minimisation; retention limits; audit trail of source + consent + opt-out.</w:t>
      </w:r>
    </w:p>
    <w:p>
      <w:pPr>
        <w:pStyle w:val="Heading3"/>
      </w:pPr>
      <w:r>
        <w:t xml:space="preserve">9.2 Safe vs risky sources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applicants (your ATS)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Direct relationship, lawful basis, no third-party ToS</w:t>
            </w:r>
          </w:p>
        </w:tc>
      </w:tr>
      <w:tr>
        <w:tc>
          <w:tcPr>
            <w:tcW w:type="dxa" w:w="3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Consent-based candidate networks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</w:t>
            </w:r>
          </w:p>
        </w:tc>
        <w:tc>
          <w:tcPr>
            <w:tcW w:type="dxa" w:w="4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Meets GDPR/CCPA consent with an auditable ledger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Licensed providers (right-to-use)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SAFE*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Verify the license grants outreach + honors erasure</w:t>
            </w:r>
          </w:p>
        </w:tc>
      </w:tr>
      <w:tr>
        <w:tc>
          <w:tcPr>
            <w:tcW w:type="dxa" w:w="3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#OpenToWork inside LinkedIn Recruiter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MODERATE</w:t>
            </w:r>
          </w:p>
        </w:tc>
        <w:tc>
          <w:tcPr>
            <w:tcW w:type="dxa" w:w="4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Compliant in-platform; exporting/scraping it breaks the User Agreement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Purchased lists (unknown provenance)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RISKY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verifiable consent; CAN-SPAM/GDPR/CCPA exposure</w:t>
            </w:r>
          </w:p>
        </w:tc>
      </w:tr>
      <w:tr>
        <w:tc>
          <w:tcPr>
            <w:tcW w:type="dxa" w:w="3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Scraped resume DBs used off-platform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RISKY</w:t>
            </w:r>
          </w:p>
        </w:tc>
        <w:tc>
          <w:tcPr>
            <w:tcW w:type="dxa" w:w="48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Indeed/ZipRecruiter ban pooling/reuse outside the hiring purpose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Scraped LinkedIn (bots/fake accounts)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hiQ / Mantheos fact pattern: breach of contract, state law, bans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hiQ takeaway: </w:t>
      </w:r>
      <w:r>
        <w:t xml:space="preserve">"public data isn’t a CFAA crime" (9th Cir., 2022) is NOT a green light to scrape LinkedIn — hiQ still lost on breach of contract, paid a $500K judgment, and is defunct. The real exposure is contract/ToS + state computer-access law + account bans. Keep to consent-based and licensed sources.</w:t>
      </w:r>
    </w:p>
    <w:p>
      <w:pPr>
        <w:pStyle w:val="Heading1"/>
      </w:pPr>
      <w:r>
        <w:t xml:space="preserve">10. Implementation Plan (Phased)</w:t>
      </w:r>
    </w:p>
    <w:p>
      <w:pPr>
        <w:pStyle w:val="Heading3"/>
      </w:pPr>
      <w:r>
        <w:t xml:space="preserve">Phase 0 — Spike (1 week)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job_description capture; stand up the embeddings client (bge-small) + numpy shortlist; prove the pipeline on 50 leads with a small candidate sample (Groq free tier). No UI.</w:t>
      </w:r>
    </w:p>
    <w:p>
      <w:pPr>
        <w:pStyle w:val="Heading3"/>
      </w:pPr>
      <w:r>
        <w:t xml:space="preserve">Phase 1 — MVP (2–3 weeks)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candidates + job_candidate_matches tables; candidate_matching pipeline stage; PDL adapter for manager/professional roles; rubric + gate/spread scoring (Platt deferred); per-lead Candidates tab with ranked cards, fit badge, breakdown popover, filters. Read-only (no candidate outreach yet).</w:t>
      </w:r>
    </w:p>
    <w:p>
      <w:pPr>
        <w:pStyle w:val="Heading3"/>
      </w:pPr>
      <w:r>
        <w:t xml:space="preserve">Phase 2 — Outreach + depth (3–4 weeks)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Indeed Smart Sourcing (+ Talroo if blue-collar LOB); recipient_type in campaign/send-gate + candidate templates + suppression + compliance (opt-out, postal address, GPC); Candidate Pool dashboard + Kanban; compare table; calibration loop (Platt on collected labels).</w:t>
      </w:r>
    </w:p>
    <w:p>
      <w:pPr>
        <w:pStyle w:val="Heading3"/>
      </w:pPr>
      <w:r>
        <w:t xml:space="preserve">Phase 3 — Optimise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Prompt caching; per-role weight overrides; FAISS if the pool crosses ~100k vectors; recalibration cadence (60–90 days).</w:t>
      </w:r>
    </w:p>
    <w:p>
      <w:pPr>
        <w:pStyle w:val="Heading1"/>
      </w:pPr>
      <w:r>
        <w:t xml:space="preserve">11. Open Decisions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Candidate data budget &amp; primary source: confirm Indeed Smart Sourcing (in-platform contact) vs an API-first path (PDL) for the first LOBs.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Embeddings: self-host bge-small ($0, needs a small model runtime) vs OpenAI/Voyage API ($0.02/1M, zero ops).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LLM re-ranker: Groq free tier (MVP, rate-limited) vs gpt-4.1-nano / Gemini Flash-Lite ($1.70/1k).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Candidate outreach in scope for v1, or matching-only (present candidates to the client) first?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Fit threshold default (80) and whether it is tenant-configurable (recommended 60–95 range).</w:t>
      </w:r>
    </w:p>
    <w:p>
      <w:pPr>
        <w:pStyle w:val="Heading1"/>
      </w:pPr>
      <w:r>
        <w:t xml:space="preserve">Appendix — Key Sources</w:t>
      </w:r>
    </w:p>
    <w:p>
      <w:pPr>
        <w:pStyle w:val="Heading3"/>
      </w:pPr>
      <w:r>
        <w:t xml:space="preserve">Data sources &amp; pricing</w:t>
      </w:r>
    </w:p>
    <w:p>
      <w:pPr>
        <w:spacing w:after="40"/>
      </w:pPr>
      <w:r>
        <w:rPr>
          <w:b/>
          <w:bCs/>
          <w:sz w:val="18"/>
          <w:szCs w:val="18"/>
        </w:rPr>
        <w:t xml:space="preserve">Indeed pricing: </w:t>
      </w:r>
      <w:r>
        <w:rPr>
          <w:color w:val="2E75B6"/>
          <w:sz w:val="18"/>
          <w:szCs w:val="18"/>
        </w:rPr>
        <w:t xml:space="preserve">hiretruffle.com/blog/indeed-pricing</w:t>
      </w:r>
    </w:p>
    <w:p>
      <w:pPr>
        <w:spacing w:after="40"/>
      </w:pPr>
      <w:r>
        <w:rPr>
          <w:b/>
          <w:bCs/>
          <w:sz w:val="18"/>
          <w:szCs w:val="18"/>
        </w:rPr>
        <w:t xml:space="preserve">ZipRecruiter pricing: </w:t>
      </w:r>
      <w:r>
        <w:rPr>
          <w:color w:val="2E75B6"/>
          <w:sz w:val="18"/>
          <w:szCs w:val="18"/>
        </w:rPr>
        <w:t xml:space="preserve">checkthat.ai/brands/ziprecruiter/pricing</w:t>
      </w:r>
    </w:p>
    <w:p>
      <w:pPr>
        <w:spacing w:after="40"/>
      </w:pPr>
      <w:r>
        <w:rPr>
          <w:b/>
          <w:bCs/>
          <w:sz w:val="18"/>
          <w:szCs w:val="18"/>
        </w:rPr>
        <w:t xml:space="preserve">Monster+ pricing: </w:t>
      </w:r>
      <w:r>
        <w:rPr>
          <w:color w:val="2E75B6"/>
          <w:sz w:val="18"/>
          <w:szCs w:val="18"/>
        </w:rPr>
        <w:t xml:space="preserve">hiring.monster.com/pricing-3</w:t>
      </w:r>
    </w:p>
    <w:p>
      <w:pPr>
        <w:spacing w:after="40"/>
      </w:pPr>
      <w:r>
        <w:rPr>
          <w:b/>
          <w:bCs/>
          <w:sz w:val="18"/>
          <w:szCs w:val="18"/>
        </w:rPr>
        <w:t xml:space="preserve">PDL credit pricing: </w:t>
      </w:r>
      <w:r>
        <w:rPr>
          <w:color w:val="2E75B6"/>
          <w:sz w:val="18"/>
          <w:szCs w:val="18"/>
        </w:rPr>
        <w:t xml:space="preserve">support.peopledatalabs.com — Pricing/credits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Coresignal pricing: </w:t>
      </w:r>
      <w:r>
        <w:rPr>
          <w:color w:val="2E75B6"/>
          <w:sz w:val="18"/>
          <w:szCs w:val="18"/>
        </w:rPr>
        <w:t xml:space="preserve">coresignal.com/pricing</w:t>
      </w:r>
    </w:p>
    <w:p>
      <w:pPr>
        <w:spacing w:after="40"/>
      </w:pPr>
      <w:r>
        <w:rPr>
          <w:b/>
          <w:bCs/>
          <w:sz w:val="18"/>
          <w:szCs w:val="18"/>
        </w:rPr>
        <w:t xml:space="preserve">Proxycurl shutdown: </w:t>
      </w:r>
      <w:r>
        <w:rPr>
          <w:color w:val="2E75B6"/>
          <w:sz w:val="18"/>
          <w:szCs w:val="18"/>
        </w:rPr>
        <w:t xml:space="preserve">linkedapi.io/guides/proxycurl-alternatives</w:t>
      </w:r>
    </w:p>
    <w:p>
      <w:pPr>
        <w:pStyle w:val="Heading3"/>
      </w:pPr>
      <w:r>
        <w:t xml:space="preserve">Matching, embeddings &amp; cost</w:t>
      </w:r>
    </w:p>
    <w:p>
      <w:pPr>
        <w:spacing w:after="40"/>
      </w:pPr>
      <w:r>
        <w:rPr>
          <w:b/>
          <w:bCs/>
          <w:sz w:val="18"/>
          <w:szCs w:val="18"/>
        </w:rPr>
        <w:t xml:space="preserve">Retrieve-then-rerank: </w:t>
      </w:r>
      <w:r>
        <w:rPr>
          <w:color w:val="2E75B6"/>
          <w:sz w:val="18"/>
          <w:szCs w:val="18"/>
        </w:rPr>
        <w:t xml:space="preserve">pinecone.io/learn/series/rag/rerankers · sbert.net</w:t>
      </w:r>
    </w:p>
    <w:p>
      <w:pPr>
        <w:spacing w:after="40"/>
      </w:pPr>
      <w:r>
        <w:rPr>
          <w:b/>
          <w:bCs/>
          <w:sz w:val="18"/>
          <w:szCs w:val="18"/>
        </w:rPr>
        <w:t xml:space="preserve">LLM-as-judge (G-Eval): </w:t>
      </w:r>
      <w:r>
        <w:rPr>
          <w:color w:val="2E75B6"/>
          <w:sz w:val="18"/>
          <w:szCs w:val="18"/>
        </w:rPr>
        <w:t xml:space="preserve">arXiv:2303.16634 · futureagi.com/blog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Cosine anisotropy: </w:t>
      </w:r>
      <w:r>
        <w:rPr>
          <w:color w:val="2E75B6"/>
          <w:sz w:val="18"/>
          <w:szCs w:val="18"/>
        </w:rPr>
        <w:t xml:space="preserve">arXiv:2504.16318 · mixpeek.com/guides/embedding-space-geometry</w:t>
      </w:r>
    </w:p>
    <w:p>
      <w:pPr>
        <w:spacing w:after="40"/>
      </w:pPr>
      <w:r>
        <w:rPr>
          <w:b/>
          <w:bCs/>
          <w:sz w:val="18"/>
          <w:szCs w:val="18"/>
        </w:rPr>
        <w:t xml:space="preserve">Embeddings: </w:t>
      </w:r>
      <w:r>
        <w:rPr>
          <w:color w:val="2E75B6"/>
          <w:sz w:val="18"/>
          <w:szCs w:val="18"/>
        </w:rPr>
        <w:t xml:space="preserve">huggingface.co/BAAI/bge-small-en-v1.5 · blog.voyageai.com · openai.com</w:t>
      </w:r>
    </w:p>
    <w:p>
      <w:pPr>
        <w:spacing w:after="40"/>
      </w:pPr>
      <w:r>
        <w:rPr>
          <w:b/>
          <w:bCs/>
          <w:sz w:val="18"/>
          <w:szCs w:val="18"/>
        </w:rPr>
        <w:t xml:space="preserve">MySQL VECTOR limits: </w:t>
      </w:r>
      <w:r>
        <w:rPr>
          <w:color w:val="2E75B6"/>
          <w:sz w:val="18"/>
          <w:szCs w:val="18"/>
        </w:rPr>
        <w:t xml:space="preserve">dev.mysql.com/doc/refman/9.7/en/vector-functions.html · bugs.mysql.com/115846</w:t>
      </w:r>
    </w:p>
    <w:p>
      <w:pPr>
        <w:spacing w:after="40"/>
      </w:pPr>
      <w:r>
        <w:rPr>
          <w:b/>
          <w:bCs/>
          <w:sz w:val="18"/>
          <w:szCs w:val="18"/>
        </w:rPr>
        <w:t xml:space="preserve">LLM pricing: </w:t>
      </w:r>
      <w:r>
        <w:rPr>
          <w:color w:val="2E75B6"/>
          <w:sz w:val="18"/>
          <w:szCs w:val="18"/>
        </w:rPr>
        <w:t xml:space="preserve">pricepertoken.com · aicostcheck.com · klymentiev.com/blog/groq-pricing</w:t>
      </w:r>
    </w:p>
    <w:p>
      <w:pPr>
        <w:pStyle w:val="Heading3"/>
      </w:pPr>
      <w:r>
        <w:t xml:space="preserve">Compliance &amp; UX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CAN-SPAM / FTC penalties: </w:t>
      </w:r>
      <w:r>
        <w:rPr>
          <w:color w:val="2E75B6"/>
          <w:sz w:val="18"/>
          <w:szCs w:val="18"/>
        </w:rPr>
        <w:t xml:space="preserve">ftc.gov — CAN-SPAM guide · 2025 penalty amounts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TCPA / one-to-one vacated: </w:t>
      </w:r>
      <w:r>
        <w:rPr>
          <w:color w:val="2E75B6"/>
          <w:sz w:val="18"/>
          <w:szCs w:val="18"/>
        </w:rPr>
        <w:t xml:space="preserve">crowell.com — Facebook v. Duguid · daypitney.com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CCPA applicant scope / 2026 laws: </w:t>
      </w:r>
      <w:r>
        <w:rPr>
          <w:color w:val="2E75B6"/>
          <w:sz w:val="18"/>
          <w:szCs w:val="18"/>
        </w:rPr>
        <w:t xml:space="preserve">healthlawadvisor.com · multistate.us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hiQ v. LinkedIn: </w:t>
      </w:r>
      <w:r>
        <w:rPr>
          <w:color w:val="2E75B6"/>
          <w:sz w:val="18"/>
          <w:szCs w:val="18"/>
        </w:rPr>
        <w:t xml:space="preserve">cdn.ca9.uscourts.gov — 17-16783 · privacyworld.blog</w:t>
      </w:r>
    </w:p>
    <w:p>
      <w:pPr>
        <w:spacing w:after="40"/>
      </w:pPr>
      <w:r>
        <w:rPr>
          <w:b/>
          <w:bCs/>
          <w:sz w:val="18"/>
          <w:szCs w:val="18"/>
        </w:rPr>
        <w:t xml:space="preserve">UX patterns: </w:t>
      </w:r>
      <w:r>
        <w:rPr>
          <w:color w:val="2E75B6"/>
          <w:sz w:val="18"/>
          <w:szCs w:val="18"/>
        </w:rPr>
        <w:t xml:space="preserve">help.gem.com · support.seekout.com · docs.ashbyhq.com · kb.bullhorn.com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Accessibility: </w:t>
      </w:r>
      <w:r>
        <w:rPr>
          <w:color w:val="2E75B6"/>
          <w:sz w:val="18"/>
          <w:szCs w:val="18"/>
        </w:rPr>
        <w:t xml:space="preserve">w3.org/WAI — WCAG 1.4.1 / 1.4.13 / 2.5.8 · APG Dialog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Exzelon RA Agent — Candidate Matching Design (Confidential)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2A2A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Candidate–Job Matching Engine — Design</dc:title>
  <dc:creator>Exzelon RA Agent</dc:creator>
  <cp:lastModifiedBy>Un-named</cp:lastModifiedBy>
  <cp:revision>1</cp:revision>
  <dcterms:created xsi:type="dcterms:W3CDTF">2026-07-22T03:23:02.511Z</dcterms:created>
  <dcterms:modified xsi:type="dcterms:W3CDTF">2026-07-22T03:23:02.514Z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