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49" w:rsidRDefault="007E0CB7" w:rsidP="007E0CB7">
      <w:pPr>
        <w:pStyle w:val="Title"/>
        <w:jc w:val="center"/>
      </w:pPr>
      <w:r>
        <w:t>Sample Sort</w:t>
      </w:r>
      <w:r w:rsidR="00700E74">
        <w:t xml:space="preserve"> Using MPI</w:t>
      </w:r>
    </w:p>
    <w:p w:rsidR="00EC193E" w:rsidRDefault="00EC193E" w:rsidP="00C81316">
      <w:pPr>
        <w:pStyle w:val="Heading1"/>
        <w:jc w:val="center"/>
        <w:rPr>
          <w:u w:val="single"/>
        </w:rPr>
      </w:pPr>
      <w:r w:rsidRPr="00C81316">
        <w:rPr>
          <w:u w:val="single"/>
        </w:rPr>
        <w:t>Experimentation data for Serial computation</w:t>
      </w:r>
    </w:p>
    <w:p w:rsidR="00C81316" w:rsidRPr="007476A3" w:rsidRDefault="004E55D2" w:rsidP="00C81316">
      <w:pPr>
        <w:rPr>
          <w:rFonts w:ascii="Bookman" w:hAnsi="Bookman"/>
        </w:rPr>
      </w:pPr>
      <w:r w:rsidRPr="004E55D2">
        <w:rPr>
          <w:rFonts w:ascii="Bookman" w:hAnsi="Bookman"/>
        </w:rPr>
        <w:t>For serial computation we have chosen</w:t>
      </w:r>
      <w:r>
        <w:rPr>
          <w:rFonts w:ascii="Bookman" w:hAnsi="Bookman"/>
        </w:rPr>
        <w:t xml:space="preserve"> the serial code with 12 buckets and obtained the runtime</w:t>
      </w:r>
      <w:r w:rsidR="007476A3">
        <w:rPr>
          <w:rFonts w:ascii="Bookman" w:hAnsi="Bookman"/>
        </w:rPr>
        <w:t>s</w:t>
      </w:r>
      <w:r>
        <w:rPr>
          <w:rFonts w:ascii="Bookman" w:hAnsi="Bookman"/>
        </w:rPr>
        <w:t xml:space="preserve"> with size = 120000, 1200000, 12000000, 120000000. These results will be used as the baseline to compare with the parallel models.</w:t>
      </w:r>
    </w:p>
    <w:tbl>
      <w:tblPr>
        <w:tblStyle w:val="TableGrid"/>
        <w:tblW w:w="0" w:type="auto"/>
        <w:jc w:val="center"/>
        <w:tblLook w:val="04A0" w:firstRow="1" w:lastRow="0" w:firstColumn="1" w:lastColumn="0" w:noHBand="0" w:noVBand="1"/>
      </w:tblPr>
      <w:tblGrid>
        <w:gridCol w:w="2536"/>
        <w:gridCol w:w="1778"/>
      </w:tblGrid>
      <w:tr w:rsidR="00F711A7" w:rsidRPr="00F142EF" w:rsidTr="00F711A7">
        <w:trPr>
          <w:jc w:val="center"/>
        </w:trPr>
        <w:tc>
          <w:tcPr>
            <w:tcW w:w="2536" w:type="dxa"/>
          </w:tcPr>
          <w:p w:rsidR="00F711A7" w:rsidRPr="00F142EF" w:rsidRDefault="00F711A7" w:rsidP="00657339">
            <w:pPr>
              <w:jc w:val="center"/>
              <w:rPr>
                <w:rFonts w:ascii="Andalus" w:hAnsi="Andalus" w:cs="Andalus"/>
                <w:b/>
              </w:rPr>
            </w:pPr>
            <w:r>
              <w:rPr>
                <w:rFonts w:ascii="Andalus" w:hAnsi="Andalus" w:cs="Andalus"/>
                <w:b/>
              </w:rPr>
              <w:t>(N</w:t>
            </w:r>
            <w:r w:rsidRPr="00F142EF">
              <w:rPr>
                <w:rFonts w:ascii="Andalus" w:hAnsi="Andalus" w:cs="Andalus"/>
                <w:b/>
              </w:rPr>
              <w:t>)</w:t>
            </w:r>
          </w:p>
        </w:tc>
        <w:tc>
          <w:tcPr>
            <w:tcW w:w="1778" w:type="dxa"/>
          </w:tcPr>
          <w:p w:rsidR="00F711A7" w:rsidRPr="00F142EF" w:rsidRDefault="00F711A7" w:rsidP="00F711A7">
            <w:pPr>
              <w:rPr>
                <w:rFonts w:ascii="Andalus" w:hAnsi="Andalus" w:cs="Andalus"/>
                <w:b/>
              </w:rPr>
            </w:pPr>
            <w:r w:rsidRPr="00F142EF">
              <w:rPr>
                <w:rFonts w:ascii="Andalus" w:hAnsi="Andalus" w:cs="Andalus"/>
                <w:b/>
              </w:rPr>
              <w:t>Runtime (sec)</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0.058558</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0.407464</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3.881106</w:t>
            </w:r>
          </w:p>
        </w:tc>
      </w:tr>
      <w:tr w:rsidR="00F711A7" w:rsidRPr="00F142EF" w:rsidTr="00F711A7">
        <w:trPr>
          <w:jc w:val="center"/>
        </w:trPr>
        <w:tc>
          <w:tcPr>
            <w:tcW w:w="2536" w:type="dxa"/>
          </w:tcPr>
          <w:p w:rsidR="00F711A7" w:rsidRDefault="00F711A7" w:rsidP="00657339">
            <w:pPr>
              <w:jc w:val="center"/>
              <w:rPr>
                <w:rFonts w:ascii="Andalus" w:hAnsi="Andalus" w:cs="Andalus"/>
              </w:rPr>
            </w:pPr>
            <w:r>
              <w:rPr>
                <w:rFonts w:ascii="Andalus" w:hAnsi="Andalus" w:cs="Andalus"/>
              </w:rPr>
              <w:t>120000000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44.601656</w:t>
            </w:r>
          </w:p>
        </w:tc>
      </w:tr>
    </w:tbl>
    <w:p w:rsidR="003D002D" w:rsidRPr="00C81316" w:rsidRDefault="00AB223C" w:rsidP="00C81316">
      <w:pPr>
        <w:pStyle w:val="Heading1"/>
        <w:jc w:val="center"/>
        <w:rPr>
          <w:u w:val="single"/>
        </w:rPr>
      </w:pPr>
      <w:r>
        <w:rPr>
          <w:rFonts w:eastAsiaTheme="minorHAnsi"/>
          <w:u w:val="single"/>
        </w:rPr>
        <w:t>MPI Implementation</w:t>
      </w:r>
      <w:r w:rsidR="0080136E">
        <w:rPr>
          <w:rFonts w:eastAsiaTheme="minorHAnsi"/>
          <w:u w:val="single"/>
        </w:rPr>
        <w:t xml:space="preserve"> </w:t>
      </w:r>
    </w:p>
    <w:p w:rsidR="004512D2" w:rsidRPr="00DF119C" w:rsidRDefault="00FE310E" w:rsidP="004512D2">
      <w:pPr>
        <w:pStyle w:val="Heading2"/>
        <w:rPr>
          <w:u w:val="single"/>
        </w:rPr>
      </w:pPr>
      <w:r w:rsidRPr="00DF119C">
        <w:rPr>
          <w:u w:val="single"/>
        </w:rPr>
        <w:t xml:space="preserve">Overview of the </w:t>
      </w:r>
      <w:r w:rsidR="00C81316" w:rsidRPr="00DF119C">
        <w:rPr>
          <w:u w:val="single"/>
        </w:rPr>
        <w:t>Algorithm</w:t>
      </w:r>
      <w:r w:rsidR="00A239A6" w:rsidRPr="00DF119C">
        <w:rPr>
          <w:u w:val="single"/>
        </w:rPr>
        <w:t xml:space="preserve"> and suggested optimization</w:t>
      </w:r>
    </w:p>
    <w:p w:rsidR="00FE310E" w:rsidRPr="0021353D" w:rsidRDefault="0021353D" w:rsidP="003B2046">
      <w:pPr>
        <w:pStyle w:val="ListParagraph"/>
        <w:numPr>
          <w:ilvl w:val="0"/>
          <w:numId w:val="6"/>
        </w:numPr>
        <w:rPr>
          <w:rFonts w:ascii="Bookman" w:hAnsi="Bookman"/>
        </w:rPr>
      </w:pPr>
      <w:r w:rsidRPr="0021353D">
        <w:rPr>
          <w:rFonts w:ascii="Bookman" w:hAnsi="Bookman"/>
        </w:rPr>
        <w:t>Rank 0 creates the data set and scatters it to the P processes.</w:t>
      </w:r>
    </w:p>
    <w:p w:rsidR="00506FA8" w:rsidRPr="0021353D" w:rsidRDefault="0021353D" w:rsidP="0021353D">
      <w:pPr>
        <w:pStyle w:val="ListParagraph"/>
        <w:numPr>
          <w:ilvl w:val="0"/>
          <w:numId w:val="6"/>
        </w:numPr>
        <w:rPr>
          <w:rFonts w:ascii="Bookman" w:hAnsi="Bookman"/>
        </w:rPr>
      </w:pPr>
      <w:r w:rsidRPr="0021353D">
        <w:rPr>
          <w:rFonts w:ascii="Bookman" w:hAnsi="Bookman"/>
        </w:rPr>
        <w:t>Each process does local sorting.</w:t>
      </w:r>
    </w:p>
    <w:p w:rsidR="0021353D" w:rsidRPr="0021353D" w:rsidRDefault="0021353D" w:rsidP="0021353D">
      <w:pPr>
        <w:pStyle w:val="ListParagraph"/>
        <w:numPr>
          <w:ilvl w:val="0"/>
          <w:numId w:val="6"/>
        </w:numPr>
        <w:rPr>
          <w:rFonts w:ascii="Bookman" w:hAnsi="Bookman"/>
        </w:rPr>
      </w:pPr>
      <w:r w:rsidRPr="0021353D">
        <w:rPr>
          <w:rFonts w:ascii="Bookman" w:hAnsi="Bookman"/>
        </w:rPr>
        <w:t>Each process select p-1 splitters.</w:t>
      </w:r>
    </w:p>
    <w:p w:rsidR="0021353D" w:rsidRPr="0021353D" w:rsidRDefault="0021353D" w:rsidP="0021353D">
      <w:pPr>
        <w:pStyle w:val="ListParagraph"/>
        <w:numPr>
          <w:ilvl w:val="0"/>
          <w:numId w:val="6"/>
        </w:numPr>
        <w:rPr>
          <w:rFonts w:ascii="Bookman" w:hAnsi="Bookman"/>
        </w:rPr>
      </w:pPr>
      <w:r w:rsidRPr="0021353D">
        <w:rPr>
          <w:rFonts w:ascii="Bookman" w:hAnsi="Bookman"/>
        </w:rPr>
        <w:t xml:space="preserve">All the </w:t>
      </w:r>
      <w:proofErr w:type="gramStart"/>
      <w:r w:rsidRPr="0021353D">
        <w:rPr>
          <w:rFonts w:ascii="Bookman" w:hAnsi="Bookman"/>
        </w:rPr>
        <w:t>p(</w:t>
      </w:r>
      <w:proofErr w:type="gramEnd"/>
      <w:r w:rsidRPr="0021353D">
        <w:rPr>
          <w:rFonts w:ascii="Bookman" w:hAnsi="Bookman"/>
        </w:rPr>
        <w:t>p-1) splitters are gathered to rank 0.</w:t>
      </w:r>
    </w:p>
    <w:p w:rsidR="0021353D" w:rsidRPr="0021353D" w:rsidRDefault="0021353D" w:rsidP="0021353D">
      <w:pPr>
        <w:pStyle w:val="ListParagraph"/>
        <w:numPr>
          <w:ilvl w:val="0"/>
          <w:numId w:val="6"/>
        </w:numPr>
        <w:rPr>
          <w:rFonts w:ascii="Bookman" w:hAnsi="Bookman"/>
        </w:rPr>
      </w:pPr>
      <w:r w:rsidRPr="0021353D">
        <w:rPr>
          <w:rFonts w:ascii="Bookman" w:hAnsi="Bookman"/>
        </w:rPr>
        <w:t xml:space="preserve">Rank 0 selects </w:t>
      </w:r>
      <w:r w:rsidR="002F07B2">
        <w:rPr>
          <w:rFonts w:ascii="Bookman" w:hAnsi="Bookman"/>
        </w:rPr>
        <w:t xml:space="preserve">a set of </w:t>
      </w:r>
      <w:r w:rsidRPr="0021353D">
        <w:rPr>
          <w:rFonts w:ascii="Bookman" w:hAnsi="Bookman"/>
        </w:rPr>
        <w:t>p-1 global splitters</w:t>
      </w:r>
      <w:r w:rsidR="002F07B2">
        <w:rPr>
          <w:rFonts w:ascii="Bookman" w:hAnsi="Bookman"/>
        </w:rPr>
        <w:t xml:space="preserve"> and sorting the sample of </w:t>
      </w:r>
      <w:proofErr w:type="gramStart"/>
      <w:r w:rsidR="002F07B2">
        <w:rPr>
          <w:rFonts w:ascii="Bookman" w:hAnsi="Bookman"/>
        </w:rPr>
        <w:t>p(</w:t>
      </w:r>
      <w:proofErr w:type="gramEnd"/>
      <w:r w:rsidR="002F07B2">
        <w:rPr>
          <w:rFonts w:ascii="Bookman" w:hAnsi="Bookman"/>
        </w:rPr>
        <w:t>p-1) splitters</w:t>
      </w:r>
      <w:r w:rsidRPr="0021353D">
        <w:rPr>
          <w:rFonts w:ascii="Bookman" w:hAnsi="Bookman"/>
        </w:rPr>
        <w:t xml:space="preserve"> and broadcasted that to P processes.</w:t>
      </w:r>
    </w:p>
    <w:p w:rsidR="0021353D" w:rsidRDefault="0021353D" w:rsidP="0021353D">
      <w:pPr>
        <w:pStyle w:val="ListParagraph"/>
        <w:numPr>
          <w:ilvl w:val="0"/>
          <w:numId w:val="6"/>
        </w:numPr>
        <w:rPr>
          <w:rFonts w:ascii="Bookman" w:hAnsi="Bookman"/>
        </w:rPr>
      </w:pPr>
      <w:r w:rsidRPr="0021353D">
        <w:rPr>
          <w:rFonts w:ascii="Bookman" w:hAnsi="Bookman"/>
        </w:rPr>
        <w:t>Each process put its local data set into local buckets based on the splitters</w:t>
      </w:r>
      <w:r w:rsidR="002F07B2">
        <w:rPr>
          <w:rFonts w:ascii="Bookman" w:hAnsi="Bookman"/>
        </w:rPr>
        <w:t xml:space="preserve"> set</w:t>
      </w:r>
      <w:r w:rsidRPr="0021353D">
        <w:rPr>
          <w:rFonts w:ascii="Bookman" w:hAnsi="Bookman"/>
        </w:rPr>
        <w:t>.</w:t>
      </w:r>
    </w:p>
    <w:p w:rsidR="0021353D" w:rsidRDefault="0021353D" w:rsidP="0021353D">
      <w:pPr>
        <w:pStyle w:val="ListParagraph"/>
        <w:numPr>
          <w:ilvl w:val="0"/>
          <w:numId w:val="6"/>
        </w:numPr>
        <w:rPr>
          <w:rFonts w:ascii="Bookman" w:hAnsi="Bookman"/>
        </w:rPr>
      </w:pPr>
      <w:r>
        <w:rPr>
          <w:rFonts w:ascii="Bookman" w:hAnsi="Bookman"/>
        </w:rPr>
        <w:t xml:space="preserve">Each process rearranges its buckets using </w:t>
      </w:r>
      <w:proofErr w:type="spellStart"/>
      <w:r>
        <w:rPr>
          <w:rFonts w:ascii="Bookman" w:hAnsi="Bookman"/>
        </w:rPr>
        <w:t>MPI_Alltoall</w:t>
      </w:r>
      <w:proofErr w:type="spellEnd"/>
      <w:r>
        <w:rPr>
          <w:rFonts w:ascii="Bookman" w:hAnsi="Bookman"/>
        </w:rPr>
        <w:t xml:space="preserve"> so that P0 has all the data &lt; </w:t>
      </w:r>
      <w:proofErr w:type="gramStart"/>
      <w:r>
        <w:rPr>
          <w:rFonts w:ascii="Bookman" w:hAnsi="Bookman"/>
        </w:rPr>
        <w:t>splitter[</w:t>
      </w:r>
      <w:proofErr w:type="gramEnd"/>
      <w:r>
        <w:rPr>
          <w:rFonts w:ascii="Bookman" w:hAnsi="Bookman"/>
        </w:rPr>
        <w:t>0] and soon.</w:t>
      </w:r>
    </w:p>
    <w:p w:rsidR="0021353D" w:rsidRPr="0021353D" w:rsidRDefault="0021353D" w:rsidP="0021353D">
      <w:pPr>
        <w:pStyle w:val="ListParagraph"/>
        <w:numPr>
          <w:ilvl w:val="0"/>
          <w:numId w:val="6"/>
        </w:numPr>
        <w:rPr>
          <w:rFonts w:ascii="Bookman" w:hAnsi="Bookman"/>
        </w:rPr>
      </w:pPr>
      <w:r>
        <w:rPr>
          <w:rFonts w:ascii="Bookman" w:hAnsi="Bookman"/>
        </w:rPr>
        <w:t xml:space="preserve">Each </w:t>
      </w:r>
      <w:r w:rsidR="002F07B2">
        <w:rPr>
          <w:rFonts w:ascii="Bookman" w:hAnsi="Bookman"/>
        </w:rPr>
        <w:t>process</w:t>
      </w:r>
      <w:r>
        <w:rPr>
          <w:rFonts w:ascii="Bookman" w:hAnsi="Bookman"/>
        </w:rPr>
        <w:t xml:space="preserve"> finally sorts their local buckets.</w:t>
      </w:r>
    </w:p>
    <w:p w:rsidR="00961707" w:rsidRPr="00DF119C" w:rsidRDefault="00961707" w:rsidP="00961707">
      <w:pPr>
        <w:pStyle w:val="Heading2"/>
        <w:rPr>
          <w:rFonts w:ascii="Bookman" w:hAnsi="Bookman"/>
          <w:u w:val="single"/>
        </w:rPr>
      </w:pPr>
      <w:r w:rsidRPr="00DF119C">
        <w:rPr>
          <w:rFonts w:ascii="Bookman" w:hAnsi="Bookman"/>
          <w:u w:val="single"/>
        </w:rPr>
        <w:t xml:space="preserve">Experimentation data </w:t>
      </w:r>
    </w:p>
    <w:p w:rsidR="00BB099F" w:rsidRPr="00110D50" w:rsidRDefault="003B14FC" w:rsidP="00110D50">
      <w:pPr>
        <w:pStyle w:val="Heading3"/>
        <w:rPr>
          <w:rFonts w:ascii="Bookman" w:hAnsi="Bookman"/>
          <w:u w:val="single"/>
        </w:rPr>
      </w:pPr>
      <w:r w:rsidRPr="00DF119C">
        <w:rPr>
          <w:rFonts w:ascii="Bookman" w:hAnsi="Bookman"/>
          <w:u w:val="single"/>
        </w:rPr>
        <w:t>Tabular Representation</w:t>
      </w:r>
    </w:p>
    <w:p w:rsidR="00BB099F" w:rsidRPr="005173FB" w:rsidRDefault="00BB099F" w:rsidP="00BB0072">
      <w:pPr>
        <w:pStyle w:val="NoSpacing"/>
        <w:rPr>
          <w:rFonts w:ascii="Bookman" w:hAnsi="Bookman"/>
          <w:b/>
        </w:rPr>
      </w:pPr>
      <w:r w:rsidRPr="005173FB">
        <w:rPr>
          <w:rFonts w:ascii="Bookman" w:hAnsi="Bookman"/>
          <w:b/>
        </w:rPr>
        <w:t>Note: The speedup is calculated using (</w:t>
      </w:r>
      <w:r w:rsidR="00110D50">
        <w:rPr>
          <w:rFonts w:ascii="Bookman" w:hAnsi="Bookman"/>
          <w:b/>
        </w:rPr>
        <w:t xml:space="preserve">serial runtime calculated above </w:t>
      </w:r>
      <w:r w:rsidRPr="005173FB">
        <w:rPr>
          <w:rFonts w:ascii="Bookman" w:hAnsi="Bookman"/>
          <w:b/>
        </w:rPr>
        <w:t>/ runtime for P).</w:t>
      </w:r>
      <w:r w:rsidR="003521E6">
        <w:rPr>
          <w:rFonts w:ascii="Bookman" w:hAnsi="Bookman"/>
          <w:b/>
        </w:rPr>
        <w:t xml:space="preserve"> </w:t>
      </w: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BB0072" w:rsidRPr="003B14FC" w:rsidRDefault="00BB0072" w:rsidP="00BB0072">
      <w:pPr>
        <w:pStyle w:val="NoSpacing"/>
      </w:pPr>
    </w:p>
    <w:tbl>
      <w:tblPr>
        <w:tblStyle w:val="TableGrid"/>
        <w:tblW w:w="0" w:type="auto"/>
        <w:jc w:val="center"/>
        <w:tblLook w:val="04A0" w:firstRow="1" w:lastRow="0" w:firstColumn="1" w:lastColumn="0" w:noHBand="0" w:noVBand="1"/>
      </w:tblPr>
      <w:tblGrid>
        <w:gridCol w:w="1569"/>
        <w:gridCol w:w="1727"/>
        <w:gridCol w:w="1299"/>
      </w:tblGrid>
      <w:tr w:rsidR="003E3DC4" w:rsidRPr="00670DBC" w:rsidTr="00DB7AED">
        <w:trPr>
          <w:jc w:val="center"/>
        </w:trPr>
        <w:tc>
          <w:tcPr>
            <w:tcW w:w="1569" w:type="dxa"/>
            <w:tcBorders>
              <w:bottom w:val="single" w:sz="4" w:space="0" w:color="auto"/>
            </w:tcBorders>
          </w:tcPr>
          <w:p w:rsidR="003E3DC4" w:rsidRPr="00670DBC" w:rsidRDefault="003E3DC4" w:rsidP="003B5148">
            <w:pPr>
              <w:jc w:val="center"/>
              <w:rPr>
                <w:rFonts w:ascii="Andalus" w:hAnsi="Andalus" w:cs="Andalus"/>
                <w:b/>
              </w:rPr>
            </w:pPr>
            <w:r w:rsidRPr="00670DBC">
              <w:rPr>
                <w:rFonts w:ascii="Andalus" w:hAnsi="Andalus" w:cs="Andalus"/>
                <w:b/>
              </w:rPr>
              <w:t>P</w:t>
            </w:r>
          </w:p>
        </w:tc>
        <w:tc>
          <w:tcPr>
            <w:tcW w:w="1727" w:type="dxa"/>
            <w:tcBorders>
              <w:bottom w:val="single" w:sz="4" w:space="0" w:color="auto"/>
            </w:tcBorders>
          </w:tcPr>
          <w:p w:rsidR="003E3DC4" w:rsidRPr="00670DBC" w:rsidRDefault="003E3DC4" w:rsidP="003B5148">
            <w:pPr>
              <w:jc w:val="center"/>
              <w:rPr>
                <w:rFonts w:ascii="Andalus" w:hAnsi="Andalus" w:cs="Andalus"/>
                <w:b/>
              </w:rPr>
            </w:pPr>
            <w:r w:rsidRPr="00670DBC">
              <w:rPr>
                <w:rFonts w:ascii="Andalus" w:hAnsi="Andalus" w:cs="Andalus"/>
                <w:b/>
              </w:rPr>
              <w:t>Runtime (seconds)</w:t>
            </w:r>
          </w:p>
        </w:tc>
        <w:tc>
          <w:tcPr>
            <w:tcW w:w="1299" w:type="dxa"/>
            <w:tcBorders>
              <w:bottom w:val="single" w:sz="4" w:space="0" w:color="auto"/>
            </w:tcBorders>
          </w:tcPr>
          <w:p w:rsidR="003E3DC4" w:rsidRPr="00670DBC" w:rsidRDefault="003E3DC4" w:rsidP="003B5148">
            <w:pPr>
              <w:jc w:val="center"/>
              <w:rPr>
                <w:rFonts w:ascii="Andalus" w:hAnsi="Andalus" w:cs="Andalus"/>
                <w:b/>
              </w:rPr>
            </w:pPr>
            <w:r w:rsidRPr="00670DBC">
              <w:rPr>
                <w:rFonts w:ascii="Andalus" w:hAnsi="Andalus" w:cs="Andalus"/>
                <w:b/>
              </w:rPr>
              <w:t>Speedup</w:t>
            </w:r>
          </w:p>
        </w:tc>
      </w:tr>
      <w:tr w:rsidR="003E3DC4" w:rsidRPr="00670DBC" w:rsidTr="00DB7AED">
        <w:trPr>
          <w:jc w:val="center"/>
        </w:trPr>
        <w:tc>
          <w:tcPr>
            <w:tcW w:w="4595" w:type="dxa"/>
            <w:gridSpan w:val="3"/>
            <w:shd w:val="clear" w:color="auto" w:fill="808080" w:themeFill="background1" w:themeFillShade="80"/>
          </w:tcPr>
          <w:p w:rsidR="003E3DC4" w:rsidRPr="003E3DC4" w:rsidRDefault="003E3DC4" w:rsidP="00312900">
            <w:pPr>
              <w:jc w:val="center"/>
              <w:rPr>
                <w:rFonts w:ascii="Andalus" w:hAnsi="Andalus" w:cs="Andalus"/>
                <w:b/>
              </w:rPr>
            </w:pPr>
            <w:r>
              <w:rPr>
                <w:rFonts w:ascii="Andalus" w:hAnsi="Andalus" w:cs="Andalus"/>
                <w:b/>
              </w:rPr>
              <w:t>N = 12</w:t>
            </w:r>
            <w:r w:rsidRPr="003E3DC4">
              <w:rPr>
                <w:rFonts w:ascii="Andalus" w:hAnsi="Andalus" w:cs="Andalus"/>
                <w:b/>
              </w:rPr>
              <w:t>0000</w:t>
            </w:r>
          </w:p>
        </w:tc>
      </w:tr>
      <w:tr w:rsidR="003E3DC4" w:rsidRPr="00670DBC" w:rsidTr="00316261">
        <w:trPr>
          <w:jc w:val="center"/>
        </w:trPr>
        <w:tc>
          <w:tcPr>
            <w:tcW w:w="1569" w:type="dxa"/>
            <w:tcBorders>
              <w:bottom w:val="single" w:sz="4" w:space="0" w:color="auto"/>
            </w:tcBorders>
          </w:tcPr>
          <w:p w:rsidR="003E3DC4" w:rsidRPr="00670DBC" w:rsidRDefault="003E3DC4" w:rsidP="003B5148">
            <w:pPr>
              <w:jc w:val="center"/>
              <w:rPr>
                <w:rFonts w:ascii="Andalus" w:hAnsi="Andalus" w:cs="Andalus"/>
              </w:rPr>
            </w:pPr>
            <w:r>
              <w:rPr>
                <w:rFonts w:ascii="Andalus" w:hAnsi="Andalus" w:cs="Andalus"/>
              </w:rPr>
              <w:t>2</w:t>
            </w:r>
          </w:p>
        </w:tc>
        <w:tc>
          <w:tcPr>
            <w:tcW w:w="1727" w:type="dxa"/>
            <w:tcBorders>
              <w:bottom w:val="single" w:sz="4" w:space="0" w:color="auto"/>
            </w:tcBorders>
          </w:tcPr>
          <w:p w:rsidR="003E3DC4" w:rsidRPr="00670DBC" w:rsidRDefault="00810234" w:rsidP="00810234">
            <w:pPr>
              <w:jc w:val="center"/>
              <w:rPr>
                <w:rFonts w:ascii="Andalus" w:hAnsi="Andalus" w:cs="Andalus"/>
              </w:rPr>
            </w:pPr>
            <w:r w:rsidRPr="00810234">
              <w:rPr>
                <w:rFonts w:ascii="Andalus" w:hAnsi="Andalus" w:cs="Andalus"/>
              </w:rPr>
              <w:t>.032027</w:t>
            </w:r>
          </w:p>
        </w:tc>
        <w:tc>
          <w:tcPr>
            <w:tcW w:w="1299" w:type="dxa"/>
            <w:tcBorders>
              <w:bottom w:val="single" w:sz="4" w:space="0" w:color="auto"/>
            </w:tcBorders>
          </w:tcPr>
          <w:p w:rsidR="003E3DC4" w:rsidRPr="00670DBC" w:rsidRDefault="00810234" w:rsidP="00312900">
            <w:pPr>
              <w:jc w:val="center"/>
              <w:rPr>
                <w:rFonts w:ascii="Andalus" w:hAnsi="Andalus" w:cs="Andalus"/>
              </w:rPr>
            </w:pPr>
            <w:r w:rsidRPr="00810234">
              <w:rPr>
                <w:rFonts w:ascii="Andalus" w:hAnsi="Andalus" w:cs="Andalus"/>
              </w:rPr>
              <w:t>1.828349</w:t>
            </w:r>
          </w:p>
        </w:tc>
      </w:tr>
      <w:tr w:rsidR="003E3DC4" w:rsidRPr="00670DBC" w:rsidTr="00316261">
        <w:trPr>
          <w:jc w:val="center"/>
        </w:trPr>
        <w:tc>
          <w:tcPr>
            <w:tcW w:w="1569" w:type="dxa"/>
            <w:tcBorders>
              <w:bottom w:val="single" w:sz="4" w:space="0" w:color="auto"/>
            </w:tcBorders>
            <w:shd w:val="clear" w:color="auto" w:fill="92D050"/>
          </w:tcPr>
          <w:p w:rsidR="003E3DC4" w:rsidRPr="00670DBC" w:rsidRDefault="003E3DC4" w:rsidP="003B5148">
            <w:pPr>
              <w:jc w:val="center"/>
              <w:rPr>
                <w:rFonts w:ascii="Andalus" w:hAnsi="Andalus" w:cs="Andalus"/>
              </w:rPr>
            </w:pPr>
            <w:r>
              <w:rPr>
                <w:rFonts w:ascii="Andalus" w:hAnsi="Andalus" w:cs="Andalus"/>
              </w:rPr>
              <w:t>6</w:t>
            </w:r>
          </w:p>
        </w:tc>
        <w:tc>
          <w:tcPr>
            <w:tcW w:w="1727" w:type="dxa"/>
            <w:tcBorders>
              <w:bottom w:val="single" w:sz="4" w:space="0" w:color="auto"/>
            </w:tcBorders>
            <w:shd w:val="clear" w:color="auto" w:fill="92D050"/>
          </w:tcPr>
          <w:p w:rsidR="003E3DC4" w:rsidRPr="00670DBC" w:rsidRDefault="00810234" w:rsidP="00810234">
            <w:pPr>
              <w:jc w:val="center"/>
              <w:rPr>
                <w:rFonts w:ascii="Andalus" w:hAnsi="Andalus" w:cs="Andalus"/>
              </w:rPr>
            </w:pPr>
            <w:r w:rsidRPr="00810234">
              <w:rPr>
                <w:rFonts w:ascii="Andalus" w:hAnsi="Andalus" w:cs="Andalus"/>
              </w:rPr>
              <w:t>.010830</w:t>
            </w:r>
          </w:p>
        </w:tc>
        <w:tc>
          <w:tcPr>
            <w:tcW w:w="1299" w:type="dxa"/>
            <w:tcBorders>
              <w:bottom w:val="single" w:sz="4" w:space="0" w:color="auto"/>
            </w:tcBorders>
            <w:shd w:val="clear" w:color="auto" w:fill="92D050"/>
          </w:tcPr>
          <w:p w:rsidR="003E3DC4" w:rsidRPr="00670DBC" w:rsidRDefault="00810234" w:rsidP="00312900">
            <w:pPr>
              <w:jc w:val="center"/>
              <w:rPr>
                <w:rFonts w:ascii="Andalus" w:hAnsi="Andalus" w:cs="Andalus"/>
              </w:rPr>
            </w:pPr>
            <w:r w:rsidRPr="00810234">
              <w:rPr>
                <w:rFonts w:ascii="Andalus" w:hAnsi="Andalus" w:cs="Andalus"/>
              </w:rPr>
              <w:t>5.407017</w:t>
            </w:r>
          </w:p>
        </w:tc>
      </w:tr>
      <w:tr w:rsidR="003E3DC4" w:rsidRPr="00670DBC" w:rsidTr="00DB7AED">
        <w:trPr>
          <w:jc w:val="center"/>
        </w:trPr>
        <w:tc>
          <w:tcPr>
            <w:tcW w:w="1569" w:type="dxa"/>
            <w:tcBorders>
              <w:bottom w:val="single" w:sz="4" w:space="0" w:color="auto"/>
            </w:tcBorders>
            <w:shd w:val="clear" w:color="auto" w:fill="FFFFFF" w:themeFill="background1"/>
          </w:tcPr>
          <w:p w:rsidR="003E3DC4" w:rsidRPr="00670DBC" w:rsidRDefault="003E3DC4" w:rsidP="003B514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FFFFFF" w:themeFill="background1"/>
          </w:tcPr>
          <w:p w:rsidR="003E3DC4" w:rsidRPr="00670DBC" w:rsidRDefault="00810234" w:rsidP="00810234">
            <w:pPr>
              <w:jc w:val="center"/>
              <w:rPr>
                <w:rFonts w:ascii="Andalus" w:hAnsi="Andalus" w:cs="Andalus"/>
              </w:rPr>
            </w:pPr>
            <w:r w:rsidRPr="00810234">
              <w:rPr>
                <w:rFonts w:ascii="Andalus" w:hAnsi="Andalus" w:cs="Andalus"/>
              </w:rPr>
              <w:t>.021130</w:t>
            </w:r>
          </w:p>
        </w:tc>
        <w:tc>
          <w:tcPr>
            <w:tcW w:w="1299" w:type="dxa"/>
            <w:tcBorders>
              <w:bottom w:val="single" w:sz="4" w:space="0" w:color="auto"/>
            </w:tcBorders>
            <w:shd w:val="clear" w:color="auto" w:fill="FFFFFF" w:themeFill="background1"/>
          </w:tcPr>
          <w:p w:rsidR="003E3DC4" w:rsidRPr="00670DBC" w:rsidRDefault="00810234" w:rsidP="00312900">
            <w:pPr>
              <w:jc w:val="center"/>
              <w:rPr>
                <w:rFonts w:ascii="Andalus" w:hAnsi="Andalus" w:cs="Andalus"/>
              </w:rPr>
            </w:pPr>
            <w:r w:rsidRPr="00810234">
              <w:rPr>
                <w:rFonts w:ascii="Andalus" w:hAnsi="Andalus" w:cs="Andalus"/>
              </w:rPr>
              <w:t>2.771294</w:t>
            </w:r>
          </w:p>
        </w:tc>
      </w:tr>
      <w:tr w:rsidR="003E3DC4" w:rsidRPr="00670DBC" w:rsidTr="00DB7AED">
        <w:trPr>
          <w:jc w:val="center"/>
        </w:trPr>
        <w:tc>
          <w:tcPr>
            <w:tcW w:w="4595" w:type="dxa"/>
            <w:gridSpan w:val="3"/>
            <w:shd w:val="clear" w:color="auto" w:fill="808080" w:themeFill="background1" w:themeFillShade="80"/>
          </w:tcPr>
          <w:p w:rsidR="003E3DC4" w:rsidRPr="003E3DC4" w:rsidRDefault="003E3DC4" w:rsidP="00312900">
            <w:pPr>
              <w:jc w:val="center"/>
              <w:rPr>
                <w:rFonts w:ascii="Andalus" w:hAnsi="Andalus" w:cs="Andalus"/>
                <w:b/>
              </w:rPr>
            </w:pPr>
            <w:r w:rsidRPr="003E3DC4">
              <w:rPr>
                <w:rFonts w:ascii="Andalus" w:hAnsi="Andalus" w:cs="Andalus"/>
                <w:b/>
              </w:rPr>
              <w:t>N = 120000</w:t>
            </w:r>
            <w:r w:rsidRPr="003E3DC4">
              <w:rPr>
                <w:rFonts w:ascii="Andalus" w:hAnsi="Andalus" w:cs="Andalus"/>
                <w:b/>
              </w:rPr>
              <w:t>0</w:t>
            </w:r>
          </w:p>
        </w:tc>
      </w:tr>
      <w:tr w:rsidR="003E3DC4" w:rsidRPr="00670DBC" w:rsidTr="003E3DC4">
        <w:trPr>
          <w:jc w:val="center"/>
        </w:trPr>
        <w:tc>
          <w:tcPr>
            <w:tcW w:w="1569" w:type="dxa"/>
          </w:tcPr>
          <w:p w:rsidR="003E3DC4" w:rsidRPr="00670DBC" w:rsidRDefault="003E3DC4" w:rsidP="00464064">
            <w:pPr>
              <w:jc w:val="center"/>
              <w:rPr>
                <w:rFonts w:ascii="Andalus" w:hAnsi="Andalus" w:cs="Andalus"/>
              </w:rPr>
            </w:pPr>
            <w:r>
              <w:rPr>
                <w:rFonts w:ascii="Andalus" w:hAnsi="Andalus" w:cs="Andalus"/>
              </w:rPr>
              <w:t>2</w:t>
            </w:r>
          </w:p>
        </w:tc>
        <w:tc>
          <w:tcPr>
            <w:tcW w:w="1727" w:type="dxa"/>
          </w:tcPr>
          <w:p w:rsidR="003E3DC4" w:rsidRPr="00670DBC" w:rsidRDefault="00613572" w:rsidP="00DB7E79">
            <w:pPr>
              <w:rPr>
                <w:rFonts w:ascii="Andalus" w:hAnsi="Andalus" w:cs="Andalus"/>
              </w:rPr>
            </w:pPr>
            <w:r w:rsidRPr="00613572">
              <w:rPr>
                <w:rFonts w:ascii="Andalus" w:hAnsi="Andalus" w:cs="Andalus"/>
              </w:rPr>
              <w:t>.258872</w:t>
            </w:r>
          </w:p>
        </w:tc>
        <w:tc>
          <w:tcPr>
            <w:tcW w:w="1299" w:type="dxa"/>
          </w:tcPr>
          <w:p w:rsidR="003E3DC4" w:rsidRPr="00670DBC" w:rsidRDefault="00613572" w:rsidP="00312900">
            <w:pPr>
              <w:jc w:val="center"/>
              <w:rPr>
                <w:rFonts w:ascii="Andalus" w:hAnsi="Andalus" w:cs="Andalus"/>
              </w:rPr>
            </w:pPr>
            <w:r w:rsidRPr="00613572">
              <w:rPr>
                <w:rFonts w:ascii="Andalus" w:hAnsi="Andalus" w:cs="Andalus"/>
              </w:rPr>
              <w:t>1.573996</w:t>
            </w:r>
          </w:p>
        </w:tc>
      </w:tr>
      <w:tr w:rsidR="003E3DC4" w:rsidRPr="00670DBC" w:rsidTr="00316261">
        <w:trPr>
          <w:jc w:val="center"/>
        </w:trPr>
        <w:tc>
          <w:tcPr>
            <w:tcW w:w="1569" w:type="dxa"/>
            <w:tcBorders>
              <w:bottom w:val="single" w:sz="4" w:space="0" w:color="auto"/>
            </w:tcBorders>
          </w:tcPr>
          <w:p w:rsidR="003E3DC4" w:rsidRPr="00670DBC" w:rsidRDefault="003E3DC4" w:rsidP="00464064">
            <w:pPr>
              <w:jc w:val="center"/>
              <w:rPr>
                <w:rFonts w:ascii="Andalus" w:hAnsi="Andalus" w:cs="Andalus"/>
              </w:rPr>
            </w:pPr>
            <w:r>
              <w:rPr>
                <w:rFonts w:ascii="Andalus" w:hAnsi="Andalus" w:cs="Andalus"/>
              </w:rPr>
              <w:t>6</w:t>
            </w:r>
          </w:p>
        </w:tc>
        <w:tc>
          <w:tcPr>
            <w:tcW w:w="1727" w:type="dxa"/>
            <w:tcBorders>
              <w:bottom w:val="single" w:sz="4" w:space="0" w:color="auto"/>
            </w:tcBorders>
          </w:tcPr>
          <w:p w:rsidR="003E3DC4" w:rsidRPr="00670DBC" w:rsidRDefault="00613572" w:rsidP="00DB7E79">
            <w:pPr>
              <w:rPr>
                <w:rFonts w:ascii="Andalus" w:hAnsi="Andalus" w:cs="Andalus"/>
              </w:rPr>
            </w:pPr>
            <w:r w:rsidRPr="00613572">
              <w:rPr>
                <w:rFonts w:ascii="Andalus" w:hAnsi="Andalus" w:cs="Andalus"/>
              </w:rPr>
              <w:t>.1213530</w:t>
            </w:r>
          </w:p>
        </w:tc>
        <w:tc>
          <w:tcPr>
            <w:tcW w:w="1299" w:type="dxa"/>
            <w:tcBorders>
              <w:bottom w:val="single" w:sz="4" w:space="0" w:color="auto"/>
            </w:tcBorders>
          </w:tcPr>
          <w:p w:rsidR="003E3DC4" w:rsidRPr="00670DBC" w:rsidRDefault="00613572" w:rsidP="00312900">
            <w:pPr>
              <w:jc w:val="center"/>
              <w:rPr>
                <w:rFonts w:ascii="Andalus" w:hAnsi="Andalus" w:cs="Andalus"/>
              </w:rPr>
            </w:pPr>
            <w:r w:rsidRPr="00613572">
              <w:rPr>
                <w:rFonts w:ascii="Andalus" w:hAnsi="Andalus" w:cs="Andalus"/>
              </w:rPr>
              <w:t>3.357675</w:t>
            </w:r>
          </w:p>
        </w:tc>
      </w:tr>
      <w:tr w:rsidR="003E3DC4" w:rsidRPr="00670DBC" w:rsidTr="00316261">
        <w:trPr>
          <w:jc w:val="center"/>
        </w:trPr>
        <w:tc>
          <w:tcPr>
            <w:tcW w:w="1569" w:type="dxa"/>
            <w:tcBorders>
              <w:bottom w:val="single" w:sz="4" w:space="0" w:color="auto"/>
            </w:tcBorders>
            <w:shd w:val="clear" w:color="auto" w:fill="92D050"/>
          </w:tcPr>
          <w:p w:rsidR="003E3DC4" w:rsidRPr="00670DBC" w:rsidRDefault="003E3DC4" w:rsidP="00464064">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3E3DC4" w:rsidRPr="00670DBC" w:rsidRDefault="00613572" w:rsidP="00DB7E79">
            <w:pPr>
              <w:rPr>
                <w:rFonts w:ascii="Andalus" w:hAnsi="Andalus" w:cs="Andalus"/>
              </w:rPr>
            </w:pPr>
            <w:r w:rsidRPr="00613572">
              <w:rPr>
                <w:rFonts w:ascii="Andalus" w:hAnsi="Andalus" w:cs="Andalus"/>
              </w:rPr>
              <w:t>.074790</w:t>
            </w:r>
          </w:p>
        </w:tc>
        <w:tc>
          <w:tcPr>
            <w:tcW w:w="1299" w:type="dxa"/>
            <w:tcBorders>
              <w:bottom w:val="single" w:sz="4" w:space="0" w:color="auto"/>
            </w:tcBorders>
            <w:shd w:val="clear" w:color="auto" w:fill="92D050"/>
          </w:tcPr>
          <w:p w:rsidR="003E3DC4" w:rsidRPr="00670DBC" w:rsidRDefault="00613572" w:rsidP="00312900">
            <w:pPr>
              <w:jc w:val="center"/>
              <w:rPr>
                <w:rFonts w:ascii="Andalus" w:hAnsi="Andalus" w:cs="Andalus"/>
              </w:rPr>
            </w:pPr>
            <w:r w:rsidRPr="00613572">
              <w:rPr>
                <w:rFonts w:ascii="Andalus" w:hAnsi="Andalus" w:cs="Andalus"/>
              </w:rPr>
              <w:t>5.4480497</w:t>
            </w:r>
          </w:p>
        </w:tc>
      </w:tr>
      <w:tr w:rsidR="003E3DC4" w:rsidRPr="00670DBC" w:rsidTr="00946531">
        <w:trPr>
          <w:jc w:val="center"/>
        </w:trPr>
        <w:tc>
          <w:tcPr>
            <w:tcW w:w="4595" w:type="dxa"/>
            <w:gridSpan w:val="3"/>
            <w:tcBorders>
              <w:bottom w:val="single" w:sz="4" w:space="0" w:color="auto"/>
            </w:tcBorders>
            <w:shd w:val="clear" w:color="auto" w:fill="808080" w:themeFill="background1" w:themeFillShade="80"/>
          </w:tcPr>
          <w:p w:rsidR="003E3DC4" w:rsidRPr="003E3DC4" w:rsidRDefault="003E3DC4" w:rsidP="00312900">
            <w:pPr>
              <w:jc w:val="center"/>
              <w:rPr>
                <w:rFonts w:ascii="Andalus" w:hAnsi="Andalus" w:cs="Andalus"/>
                <w:b/>
              </w:rPr>
            </w:pPr>
            <w:r w:rsidRPr="003E3DC4">
              <w:rPr>
                <w:rFonts w:ascii="Andalus" w:hAnsi="Andalus" w:cs="Andalus"/>
                <w:b/>
              </w:rPr>
              <w:t>N = 1200000</w:t>
            </w:r>
            <w:r w:rsidRPr="003E3DC4">
              <w:rPr>
                <w:rFonts w:ascii="Andalus" w:hAnsi="Andalus" w:cs="Andalus"/>
                <w:b/>
              </w:rPr>
              <w:t>0</w:t>
            </w:r>
          </w:p>
        </w:tc>
      </w:tr>
      <w:tr w:rsidR="003E3DC4" w:rsidRPr="00670DBC" w:rsidTr="003E3DC4">
        <w:trPr>
          <w:jc w:val="center"/>
        </w:trPr>
        <w:tc>
          <w:tcPr>
            <w:tcW w:w="1569" w:type="dxa"/>
            <w:shd w:val="clear" w:color="auto" w:fill="auto"/>
          </w:tcPr>
          <w:p w:rsidR="003E3DC4" w:rsidRPr="00670DBC" w:rsidRDefault="003E3DC4" w:rsidP="00464064">
            <w:pPr>
              <w:jc w:val="center"/>
              <w:rPr>
                <w:rFonts w:ascii="Andalus" w:hAnsi="Andalus" w:cs="Andalus"/>
              </w:rPr>
            </w:pPr>
            <w:r>
              <w:rPr>
                <w:rFonts w:ascii="Andalus" w:hAnsi="Andalus" w:cs="Andalus"/>
              </w:rPr>
              <w:t>2</w:t>
            </w:r>
          </w:p>
        </w:tc>
        <w:tc>
          <w:tcPr>
            <w:tcW w:w="1727" w:type="dxa"/>
            <w:shd w:val="clear" w:color="auto" w:fill="auto"/>
          </w:tcPr>
          <w:p w:rsidR="003E3DC4" w:rsidRPr="00670DBC" w:rsidRDefault="00FC77B0" w:rsidP="00DB7E79">
            <w:pPr>
              <w:rPr>
                <w:rFonts w:ascii="Andalus" w:hAnsi="Andalus" w:cs="Andalus"/>
              </w:rPr>
            </w:pPr>
            <w:r w:rsidRPr="00FC77B0">
              <w:rPr>
                <w:rFonts w:ascii="Andalus" w:hAnsi="Andalus" w:cs="Andalus"/>
              </w:rPr>
              <w:t>2.206225</w:t>
            </w:r>
          </w:p>
        </w:tc>
        <w:tc>
          <w:tcPr>
            <w:tcW w:w="1299" w:type="dxa"/>
            <w:shd w:val="clear" w:color="auto" w:fill="auto"/>
          </w:tcPr>
          <w:p w:rsidR="003E3DC4" w:rsidRPr="00670DBC" w:rsidRDefault="00ED5912" w:rsidP="00312900">
            <w:pPr>
              <w:jc w:val="center"/>
              <w:rPr>
                <w:rFonts w:ascii="Andalus" w:hAnsi="Andalus" w:cs="Andalus"/>
              </w:rPr>
            </w:pPr>
            <w:r w:rsidRPr="00ED5912">
              <w:rPr>
                <w:rFonts w:ascii="Andalus" w:hAnsi="Andalus" w:cs="Andalus"/>
              </w:rPr>
              <w:t>1.759161</w:t>
            </w:r>
          </w:p>
        </w:tc>
      </w:tr>
      <w:tr w:rsidR="003E3DC4" w:rsidRPr="00670DBC" w:rsidTr="00316261">
        <w:trPr>
          <w:jc w:val="center"/>
        </w:trPr>
        <w:tc>
          <w:tcPr>
            <w:tcW w:w="1569" w:type="dxa"/>
            <w:tcBorders>
              <w:bottom w:val="single" w:sz="4" w:space="0" w:color="auto"/>
            </w:tcBorders>
          </w:tcPr>
          <w:p w:rsidR="003E3DC4" w:rsidRPr="00670DBC" w:rsidRDefault="003E3DC4" w:rsidP="00464064">
            <w:pPr>
              <w:jc w:val="center"/>
              <w:rPr>
                <w:rFonts w:ascii="Andalus" w:hAnsi="Andalus" w:cs="Andalus"/>
              </w:rPr>
            </w:pPr>
            <w:r>
              <w:rPr>
                <w:rFonts w:ascii="Andalus" w:hAnsi="Andalus" w:cs="Andalus"/>
              </w:rPr>
              <w:t>6</w:t>
            </w:r>
          </w:p>
        </w:tc>
        <w:tc>
          <w:tcPr>
            <w:tcW w:w="1727" w:type="dxa"/>
            <w:tcBorders>
              <w:bottom w:val="single" w:sz="4" w:space="0" w:color="auto"/>
            </w:tcBorders>
          </w:tcPr>
          <w:p w:rsidR="003E3DC4" w:rsidRPr="00670DBC" w:rsidRDefault="00FC77B0" w:rsidP="00C24F10">
            <w:pPr>
              <w:rPr>
                <w:rFonts w:ascii="Andalus" w:hAnsi="Andalus" w:cs="Andalus"/>
              </w:rPr>
            </w:pPr>
            <w:r w:rsidRPr="00FC77B0">
              <w:rPr>
                <w:rFonts w:ascii="Andalus" w:hAnsi="Andalus" w:cs="Andalus"/>
              </w:rPr>
              <w:t>.796015</w:t>
            </w:r>
          </w:p>
        </w:tc>
        <w:tc>
          <w:tcPr>
            <w:tcW w:w="1299" w:type="dxa"/>
            <w:tcBorders>
              <w:bottom w:val="single" w:sz="4" w:space="0" w:color="auto"/>
            </w:tcBorders>
          </w:tcPr>
          <w:p w:rsidR="003E3DC4" w:rsidRPr="00670DBC" w:rsidRDefault="00ED5912" w:rsidP="00312900">
            <w:pPr>
              <w:jc w:val="center"/>
              <w:rPr>
                <w:rFonts w:ascii="Andalus" w:hAnsi="Andalus" w:cs="Andalus"/>
              </w:rPr>
            </w:pPr>
            <w:r w:rsidRPr="00ED5912">
              <w:rPr>
                <w:rFonts w:ascii="Andalus" w:hAnsi="Andalus" w:cs="Andalus"/>
              </w:rPr>
              <w:t>4.875664</w:t>
            </w:r>
          </w:p>
        </w:tc>
      </w:tr>
      <w:tr w:rsidR="003E3DC4" w:rsidRPr="00670DBC" w:rsidTr="00316261">
        <w:trPr>
          <w:jc w:val="center"/>
        </w:trPr>
        <w:tc>
          <w:tcPr>
            <w:tcW w:w="1569" w:type="dxa"/>
            <w:tcBorders>
              <w:bottom w:val="single" w:sz="4" w:space="0" w:color="auto"/>
            </w:tcBorders>
            <w:shd w:val="clear" w:color="auto" w:fill="92D050"/>
          </w:tcPr>
          <w:p w:rsidR="003E3DC4" w:rsidRPr="00670DBC" w:rsidRDefault="003E3DC4" w:rsidP="00464064">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3E3DC4" w:rsidRPr="00670DBC" w:rsidRDefault="00FC77B0" w:rsidP="00C24F10">
            <w:pPr>
              <w:rPr>
                <w:rFonts w:ascii="Andalus" w:hAnsi="Andalus" w:cs="Andalus"/>
              </w:rPr>
            </w:pPr>
            <w:r w:rsidRPr="00FC77B0">
              <w:rPr>
                <w:rFonts w:ascii="Andalus" w:hAnsi="Andalus" w:cs="Andalus"/>
              </w:rPr>
              <w:t>.499257</w:t>
            </w:r>
          </w:p>
        </w:tc>
        <w:tc>
          <w:tcPr>
            <w:tcW w:w="1299" w:type="dxa"/>
            <w:tcBorders>
              <w:bottom w:val="single" w:sz="4" w:space="0" w:color="auto"/>
            </w:tcBorders>
            <w:shd w:val="clear" w:color="auto" w:fill="92D050"/>
          </w:tcPr>
          <w:p w:rsidR="003E3DC4" w:rsidRPr="00670DBC" w:rsidRDefault="00ED5912" w:rsidP="00312900">
            <w:pPr>
              <w:jc w:val="center"/>
              <w:rPr>
                <w:rFonts w:ascii="Andalus" w:hAnsi="Andalus" w:cs="Andalus"/>
              </w:rPr>
            </w:pPr>
            <w:r w:rsidRPr="00ED5912">
              <w:rPr>
                <w:rFonts w:ascii="Andalus" w:hAnsi="Andalus" w:cs="Andalus"/>
              </w:rPr>
              <w:t>7.773751</w:t>
            </w:r>
          </w:p>
        </w:tc>
      </w:tr>
      <w:tr w:rsidR="003E3DC4" w:rsidRPr="00670DBC" w:rsidTr="00946531">
        <w:trPr>
          <w:jc w:val="center"/>
        </w:trPr>
        <w:tc>
          <w:tcPr>
            <w:tcW w:w="4595" w:type="dxa"/>
            <w:gridSpan w:val="3"/>
            <w:tcBorders>
              <w:bottom w:val="single" w:sz="4" w:space="0" w:color="auto"/>
            </w:tcBorders>
            <w:shd w:val="clear" w:color="auto" w:fill="808080" w:themeFill="background1" w:themeFillShade="80"/>
          </w:tcPr>
          <w:p w:rsidR="003E3DC4" w:rsidRPr="003E3DC4" w:rsidRDefault="003E3DC4" w:rsidP="00312900">
            <w:pPr>
              <w:jc w:val="center"/>
              <w:rPr>
                <w:rFonts w:ascii="Andalus" w:hAnsi="Andalus" w:cs="Andalus"/>
                <w:b/>
              </w:rPr>
            </w:pPr>
            <w:r w:rsidRPr="003E3DC4">
              <w:rPr>
                <w:rFonts w:ascii="Andalus" w:hAnsi="Andalus" w:cs="Andalus"/>
                <w:b/>
              </w:rPr>
              <w:t>N = 12000000</w:t>
            </w:r>
            <w:r w:rsidRPr="003E3DC4">
              <w:rPr>
                <w:rFonts w:ascii="Andalus" w:hAnsi="Andalus" w:cs="Andalus"/>
                <w:b/>
              </w:rPr>
              <w:t>0</w:t>
            </w:r>
          </w:p>
        </w:tc>
      </w:tr>
      <w:tr w:rsidR="003E3DC4" w:rsidRPr="00670DBC" w:rsidTr="003E3DC4">
        <w:trPr>
          <w:jc w:val="center"/>
        </w:trPr>
        <w:tc>
          <w:tcPr>
            <w:tcW w:w="1569" w:type="dxa"/>
            <w:tcBorders>
              <w:bottom w:val="single" w:sz="4" w:space="0" w:color="auto"/>
            </w:tcBorders>
          </w:tcPr>
          <w:p w:rsidR="003E3DC4" w:rsidRPr="00670DBC" w:rsidRDefault="003E3DC4" w:rsidP="00464064">
            <w:pPr>
              <w:jc w:val="center"/>
              <w:rPr>
                <w:rFonts w:ascii="Andalus" w:hAnsi="Andalus" w:cs="Andalus"/>
              </w:rPr>
            </w:pPr>
            <w:r>
              <w:rPr>
                <w:rFonts w:ascii="Andalus" w:hAnsi="Andalus" w:cs="Andalus"/>
              </w:rPr>
              <w:t>2</w:t>
            </w:r>
          </w:p>
        </w:tc>
        <w:tc>
          <w:tcPr>
            <w:tcW w:w="1727" w:type="dxa"/>
            <w:tcBorders>
              <w:bottom w:val="single" w:sz="4" w:space="0" w:color="auto"/>
            </w:tcBorders>
          </w:tcPr>
          <w:p w:rsidR="003E3DC4" w:rsidRPr="00670DBC" w:rsidRDefault="002F7027" w:rsidP="00C24F10">
            <w:pPr>
              <w:rPr>
                <w:rFonts w:ascii="Andalus" w:hAnsi="Andalus" w:cs="Andalus"/>
              </w:rPr>
            </w:pPr>
            <w:r w:rsidRPr="002F7027">
              <w:rPr>
                <w:rFonts w:ascii="Andalus" w:hAnsi="Andalus" w:cs="Andalus"/>
              </w:rPr>
              <w:t>23.916551</w:t>
            </w:r>
          </w:p>
        </w:tc>
        <w:tc>
          <w:tcPr>
            <w:tcW w:w="1299" w:type="dxa"/>
            <w:tcBorders>
              <w:bottom w:val="single" w:sz="4" w:space="0" w:color="auto"/>
            </w:tcBorders>
          </w:tcPr>
          <w:p w:rsidR="003E3DC4" w:rsidRPr="00670DBC" w:rsidRDefault="002F7027" w:rsidP="00312900">
            <w:pPr>
              <w:jc w:val="center"/>
              <w:rPr>
                <w:rFonts w:ascii="Andalus" w:hAnsi="Andalus" w:cs="Andalus"/>
              </w:rPr>
            </w:pPr>
            <w:r w:rsidRPr="002F7027">
              <w:rPr>
                <w:rFonts w:ascii="Andalus" w:hAnsi="Andalus" w:cs="Andalus"/>
              </w:rPr>
              <w:t>1.864886</w:t>
            </w:r>
          </w:p>
        </w:tc>
      </w:tr>
      <w:tr w:rsidR="003E3DC4" w:rsidRPr="00670DBC" w:rsidTr="00316261">
        <w:trPr>
          <w:jc w:val="center"/>
        </w:trPr>
        <w:tc>
          <w:tcPr>
            <w:tcW w:w="1569" w:type="dxa"/>
            <w:tcBorders>
              <w:bottom w:val="single" w:sz="4" w:space="0" w:color="auto"/>
            </w:tcBorders>
          </w:tcPr>
          <w:p w:rsidR="003E3DC4" w:rsidRPr="00670DBC" w:rsidRDefault="003E3DC4" w:rsidP="00464064">
            <w:pPr>
              <w:jc w:val="center"/>
              <w:rPr>
                <w:rFonts w:ascii="Andalus" w:hAnsi="Andalus" w:cs="Andalus"/>
              </w:rPr>
            </w:pPr>
            <w:r>
              <w:rPr>
                <w:rFonts w:ascii="Andalus" w:hAnsi="Andalus" w:cs="Andalus"/>
              </w:rPr>
              <w:t>6</w:t>
            </w:r>
          </w:p>
        </w:tc>
        <w:tc>
          <w:tcPr>
            <w:tcW w:w="1727" w:type="dxa"/>
            <w:tcBorders>
              <w:bottom w:val="single" w:sz="4" w:space="0" w:color="auto"/>
            </w:tcBorders>
          </w:tcPr>
          <w:p w:rsidR="003E3DC4" w:rsidRPr="00670DBC" w:rsidRDefault="002F7027" w:rsidP="00C24F10">
            <w:pPr>
              <w:rPr>
                <w:rFonts w:ascii="Andalus" w:hAnsi="Andalus" w:cs="Andalus"/>
              </w:rPr>
            </w:pPr>
            <w:r w:rsidRPr="002F7027">
              <w:rPr>
                <w:rFonts w:ascii="Andalus" w:hAnsi="Andalus" w:cs="Andalus"/>
              </w:rPr>
              <w:t>9.023845</w:t>
            </w:r>
          </w:p>
        </w:tc>
        <w:tc>
          <w:tcPr>
            <w:tcW w:w="1299" w:type="dxa"/>
            <w:tcBorders>
              <w:bottom w:val="single" w:sz="4" w:space="0" w:color="auto"/>
            </w:tcBorders>
          </w:tcPr>
          <w:p w:rsidR="003E3DC4" w:rsidRPr="00670DBC" w:rsidRDefault="002F7027" w:rsidP="00312900">
            <w:pPr>
              <w:jc w:val="center"/>
              <w:rPr>
                <w:rFonts w:ascii="Andalus" w:hAnsi="Andalus" w:cs="Andalus"/>
              </w:rPr>
            </w:pPr>
            <w:r w:rsidRPr="002F7027">
              <w:rPr>
                <w:rFonts w:ascii="Andalus" w:hAnsi="Andalus" w:cs="Andalus"/>
              </w:rPr>
              <w:t>4.942643</w:t>
            </w:r>
          </w:p>
        </w:tc>
      </w:tr>
      <w:tr w:rsidR="003E3DC4" w:rsidRPr="00670DBC" w:rsidTr="00316261">
        <w:trPr>
          <w:jc w:val="center"/>
        </w:trPr>
        <w:tc>
          <w:tcPr>
            <w:tcW w:w="1569" w:type="dxa"/>
            <w:tcBorders>
              <w:bottom w:val="single" w:sz="4" w:space="0" w:color="auto"/>
            </w:tcBorders>
            <w:shd w:val="clear" w:color="auto" w:fill="92D050"/>
          </w:tcPr>
          <w:p w:rsidR="003E3DC4" w:rsidRPr="00670DBC" w:rsidRDefault="003E3DC4" w:rsidP="00464064">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3E3DC4" w:rsidRPr="00670DBC" w:rsidRDefault="002F7027" w:rsidP="00C24F10">
            <w:pPr>
              <w:rPr>
                <w:rFonts w:ascii="Andalus" w:hAnsi="Andalus" w:cs="Andalus"/>
              </w:rPr>
            </w:pPr>
            <w:r w:rsidRPr="002F7027">
              <w:rPr>
                <w:rFonts w:ascii="Andalus" w:hAnsi="Andalus" w:cs="Andalus"/>
              </w:rPr>
              <w:t>5.772662</w:t>
            </w:r>
          </w:p>
        </w:tc>
        <w:tc>
          <w:tcPr>
            <w:tcW w:w="1299" w:type="dxa"/>
            <w:tcBorders>
              <w:bottom w:val="single" w:sz="4" w:space="0" w:color="auto"/>
            </w:tcBorders>
            <w:shd w:val="clear" w:color="auto" w:fill="92D050"/>
          </w:tcPr>
          <w:p w:rsidR="003E3DC4" w:rsidRPr="00670DBC" w:rsidRDefault="002F7027" w:rsidP="00312900">
            <w:pPr>
              <w:jc w:val="center"/>
              <w:rPr>
                <w:rFonts w:ascii="Andalus" w:hAnsi="Andalus" w:cs="Andalus"/>
              </w:rPr>
            </w:pPr>
            <w:r w:rsidRPr="002F7027">
              <w:rPr>
                <w:rFonts w:ascii="Andalus" w:hAnsi="Andalus" w:cs="Andalus"/>
              </w:rPr>
              <w:t>7.726357</w:t>
            </w:r>
          </w:p>
        </w:tc>
      </w:tr>
    </w:tbl>
    <w:p w:rsidR="00D92CB1" w:rsidRPr="00DF119C" w:rsidRDefault="00D92CB1" w:rsidP="00D92CB1">
      <w:pPr>
        <w:pStyle w:val="Heading3"/>
        <w:rPr>
          <w:u w:val="single"/>
        </w:rPr>
      </w:pPr>
      <w:r w:rsidRPr="00DF119C">
        <w:rPr>
          <w:u w:val="single"/>
        </w:rPr>
        <w:lastRenderedPageBreak/>
        <w:t>Graphical Representation</w:t>
      </w:r>
    </w:p>
    <w:p w:rsidR="00D92CB1" w:rsidRDefault="00D92CB1" w:rsidP="00D92CB1">
      <w:pPr>
        <w:pStyle w:val="Heading3"/>
      </w:pPr>
      <w:r>
        <w:t xml:space="preserve"> </w:t>
      </w:r>
    </w:p>
    <w:p w:rsidR="00961707" w:rsidRDefault="003B14FC" w:rsidP="002D1E48">
      <w:r>
        <w:rPr>
          <w:noProof/>
        </w:rPr>
        <w:drawing>
          <wp:inline distT="0" distB="0" distL="0" distR="0" wp14:anchorId="7F2538E4" wp14:editId="52046D27">
            <wp:extent cx="5486400" cy="3581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2CB1" w:rsidRPr="00961707" w:rsidRDefault="00D92CB1" w:rsidP="00961707"/>
    <w:p w:rsidR="00961707" w:rsidRDefault="00755266" w:rsidP="00696F9F">
      <w:pPr>
        <w:rPr>
          <w:rFonts w:ascii="Bookman" w:hAnsi="Bookman"/>
        </w:rPr>
      </w:pPr>
      <w:r>
        <w:rPr>
          <w:noProof/>
        </w:rPr>
        <w:drawing>
          <wp:inline distT="0" distB="0" distL="0" distR="0" wp14:anchorId="0EDC416B" wp14:editId="32C66DF4">
            <wp:extent cx="5486400" cy="3581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044" w:rsidRPr="00455C95" w:rsidRDefault="00CE3C0F" w:rsidP="00470D37">
      <w:pPr>
        <w:pStyle w:val="Heading3"/>
        <w:rPr>
          <w:rFonts w:eastAsiaTheme="minorHAnsi"/>
          <w:u w:val="single"/>
        </w:rPr>
      </w:pPr>
      <w:r w:rsidRPr="00455C95">
        <w:rPr>
          <w:rFonts w:eastAsiaTheme="minorHAnsi"/>
          <w:u w:val="single"/>
        </w:rPr>
        <w:lastRenderedPageBreak/>
        <w:t>Analysis</w:t>
      </w:r>
    </w:p>
    <w:p w:rsidR="007F1315" w:rsidRPr="005A7AB5" w:rsidRDefault="007F1315" w:rsidP="007F1315">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7F1315" w:rsidRDefault="007F1315" w:rsidP="007F1315">
      <w:pPr>
        <w:pStyle w:val="NoSpacing"/>
        <w:rPr>
          <w:rFonts w:ascii="Bookman" w:hAnsi="Bookman"/>
          <w:b/>
        </w:rPr>
      </w:pPr>
      <w:r w:rsidRPr="005A7AB5">
        <w:rPr>
          <w:rFonts w:ascii="Bookman" w:hAnsi="Bookman"/>
          <w:b/>
        </w:rPr>
        <w:t>Answer.</w:t>
      </w:r>
    </w:p>
    <w:p w:rsidR="007F1315" w:rsidRPr="0004098D" w:rsidRDefault="007F1315" w:rsidP="007F1315">
      <w:pPr>
        <w:pStyle w:val="Heading4"/>
        <w:jc w:val="center"/>
        <w:rPr>
          <w:i w:val="0"/>
          <w:u w:val="single"/>
        </w:rPr>
      </w:pPr>
      <w:r w:rsidRPr="0004098D">
        <w:rPr>
          <w:i w:val="0"/>
          <w:u w:val="single"/>
        </w:rPr>
        <w:t>Discussion on results</w:t>
      </w:r>
    </w:p>
    <w:p w:rsidR="0014117F" w:rsidRPr="00E32183" w:rsidRDefault="0014117F" w:rsidP="00E32183">
      <w:pPr>
        <w:pStyle w:val="ListParagraph"/>
        <w:numPr>
          <w:ilvl w:val="0"/>
          <w:numId w:val="2"/>
        </w:numPr>
        <w:rPr>
          <w:rFonts w:ascii="Bookman" w:hAnsi="Bookman"/>
        </w:rPr>
      </w:pPr>
      <w:r w:rsidRPr="0014117F">
        <w:rPr>
          <w:rFonts w:ascii="Bookman" w:hAnsi="Bookman"/>
        </w:rPr>
        <w:t xml:space="preserve">For </w:t>
      </w:r>
      <w:r w:rsidR="00E32183">
        <w:rPr>
          <w:rFonts w:ascii="Bookman" w:hAnsi="Bookman"/>
        </w:rPr>
        <w:t>N = 120000</w:t>
      </w:r>
      <w:r>
        <w:rPr>
          <w:rFonts w:ascii="Bookman" w:hAnsi="Bookman"/>
        </w:rPr>
        <w:t xml:space="preserve">, the speedup </w:t>
      </w:r>
      <w:r w:rsidR="00E32183">
        <w:rPr>
          <w:rFonts w:ascii="Bookman" w:hAnsi="Bookman"/>
        </w:rPr>
        <w:t>drops down after P = 6</w:t>
      </w:r>
      <w:r>
        <w:rPr>
          <w:rFonts w:ascii="Bookman" w:hAnsi="Bookman"/>
        </w:rPr>
        <w:t>.</w:t>
      </w:r>
    </w:p>
    <w:p w:rsidR="007F1315" w:rsidRPr="00E32183" w:rsidRDefault="00AF18AE" w:rsidP="00E32183">
      <w:pPr>
        <w:pStyle w:val="ListParagraph"/>
        <w:numPr>
          <w:ilvl w:val="1"/>
          <w:numId w:val="2"/>
        </w:numPr>
        <w:rPr>
          <w:rFonts w:ascii="Bookman" w:hAnsi="Bookman"/>
        </w:rPr>
      </w:pPr>
      <w:r>
        <w:rPr>
          <w:rFonts w:ascii="Bookman" w:hAnsi="Bookman"/>
        </w:rPr>
        <w:t>Here</w:t>
      </w:r>
      <w:r w:rsidR="00E32183" w:rsidRPr="0014117F">
        <w:rPr>
          <w:rFonts w:ascii="Bookman" w:hAnsi="Bookman"/>
        </w:rPr>
        <w:t xml:space="preserve"> the communication cost involved when P </w:t>
      </w:r>
      <w:r w:rsidR="00E32183">
        <w:rPr>
          <w:rFonts w:ascii="Bookman" w:hAnsi="Bookman"/>
        </w:rPr>
        <w:t>&gt; 6</w:t>
      </w:r>
      <w:r w:rsidR="00E32183" w:rsidRPr="0014117F">
        <w:rPr>
          <w:rFonts w:ascii="Bookman" w:hAnsi="Bookman"/>
        </w:rPr>
        <w:t xml:space="preserve"> is much greater than the computation gain by sharing the workload among processors and as a result the performance degrades after P = </w:t>
      </w:r>
      <w:r w:rsidR="00E32183">
        <w:rPr>
          <w:rFonts w:ascii="Bookman" w:hAnsi="Bookman"/>
        </w:rPr>
        <w:t>6</w:t>
      </w:r>
      <w:r w:rsidR="00E32183" w:rsidRPr="0014117F">
        <w:rPr>
          <w:rFonts w:ascii="Bookman" w:hAnsi="Bookman"/>
        </w:rPr>
        <w:t>.</w:t>
      </w:r>
    </w:p>
    <w:p w:rsidR="007F1315" w:rsidRDefault="00E32183" w:rsidP="007F1315">
      <w:pPr>
        <w:pStyle w:val="NoSpacing"/>
        <w:numPr>
          <w:ilvl w:val="0"/>
          <w:numId w:val="2"/>
        </w:numPr>
        <w:rPr>
          <w:rFonts w:ascii="Bookman" w:hAnsi="Bookman"/>
        </w:rPr>
      </w:pPr>
      <w:r>
        <w:rPr>
          <w:rFonts w:ascii="Bookman" w:hAnsi="Bookman"/>
        </w:rPr>
        <w:t>For a given N, t</w:t>
      </w:r>
      <w:r w:rsidR="00F26F66">
        <w:rPr>
          <w:rFonts w:ascii="Bookman" w:hAnsi="Bookman"/>
        </w:rPr>
        <w:t>he</w:t>
      </w:r>
      <w:r w:rsidR="007F1315">
        <w:rPr>
          <w:rFonts w:ascii="Bookman" w:hAnsi="Bookman"/>
        </w:rPr>
        <w:t xml:space="preserve"> speedup increases with value of P.</w:t>
      </w:r>
    </w:p>
    <w:p w:rsidR="007F1315" w:rsidRDefault="007F1315" w:rsidP="007F1315">
      <w:pPr>
        <w:pStyle w:val="NoSpacing"/>
        <w:numPr>
          <w:ilvl w:val="1"/>
          <w:numId w:val="2"/>
        </w:numPr>
        <w:rPr>
          <w:rFonts w:ascii="Bookman" w:hAnsi="Bookman"/>
        </w:rPr>
      </w:pPr>
      <w:r>
        <w:rPr>
          <w:rFonts w:ascii="Bookman" w:hAnsi="Bookman"/>
        </w:rPr>
        <w:t>With more number of P, the workload per process (N/P) decreases leading to better overall performance (or lesser runtime).</w:t>
      </w:r>
    </w:p>
    <w:p w:rsidR="00D652B9" w:rsidRDefault="00D652B9" w:rsidP="00D652B9">
      <w:pPr>
        <w:pStyle w:val="NoSpacing"/>
        <w:ind w:left="720"/>
        <w:rPr>
          <w:rFonts w:ascii="Bookman" w:hAnsi="Bookman"/>
        </w:rPr>
      </w:pPr>
    </w:p>
    <w:p w:rsidR="00D652B9" w:rsidRDefault="00D652B9" w:rsidP="00D652B9">
      <w:pPr>
        <w:pStyle w:val="NoSpacing"/>
        <w:numPr>
          <w:ilvl w:val="0"/>
          <w:numId w:val="2"/>
        </w:numPr>
        <w:rPr>
          <w:rFonts w:ascii="Bookman" w:hAnsi="Bookman"/>
        </w:rPr>
      </w:pPr>
      <w:r>
        <w:rPr>
          <w:rFonts w:ascii="Bookman" w:hAnsi="Bookman"/>
        </w:rPr>
        <w:t>With very large values of P, the performance curve breaks the linear behavior.</w:t>
      </w:r>
    </w:p>
    <w:p w:rsidR="00D652B9" w:rsidRDefault="00D652B9" w:rsidP="003164A7">
      <w:pPr>
        <w:pStyle w:val="NoSpacing"/>
        <w:numPr>
          <w:ilvl w:val="1"/>
          <w:numId w:val="2"/>
        </w:numPr>
        <w:rPr>
          <w:rFonts w:ascii="Bookman" w:hAnsi="Bookman"/>
        </w:rPr>
      </w:pPr>
      <w:r>
        <w:rPr>
          <w:rFonts w:ascii="Bookman" w:hAnsi="Bookman"/>
        </w:rPr>
        <w:t>Let take the example of N=</w:t>
      </w:r>
      <w:r w:rsidR="00126E57">
        <w:rPr>
          <w:rFonts w:ascii="Bookman" w:hAnsi="Bookman"/>
        </w:rPr>
        <w:t>1200000</w:t>
      </w:r>
      <w:r>
        <w:rPr>
          <w:rFonts w:ascii="Bookman" w:hAnsi="Bookman"/>
        </w:rPr>
        <w:t xml:space="preserve">. Had the curve been linear, then the expected value of speedup at P = </w:t>
      </w:r>
      <w:r w:rsidR="003164A7">
        <w:rPr>
          <w:rFonts w:ascii="Bookman" w:hAnsi="Bookman"/>
        </w:rPr>
        <w:t>12</w:t>
      </w:r>
      <w:r>
        <w:rPr>
          <w:rFonts w:ascii="Bookman" w:hAnsi="Bookman"/>
        </w:rPr>
        <w:t xml:space="preserve"> is </w:t>
      </w:r>
      <w:r w:rsidR="003164A7" w:rsidRPr="003164A7">
        <w:rPr>
          <w:rFonts w:ascii="Bookman" w:hAnsi="Bookman"/>
        </w:rPr>
        <w:t>6.71535</w:t>
      </w:r>
      <w:r>
        <w:rPr>
          <w:rFonts w:ascii="Bookman" w:hAnsi="Bookman"/>
        </w:rPr>
        <w:t>, but we got</w:t>
      </w:r>
      <w:r w:rsidR="003164A7">
        <w:rPr>
          <w:rFonts w:ascii="Bookman" w:hAnsi="Bookman"/>
        </w:rPr>
        <w:t xml:space="preserve"> 5.448</w:t>
      </w:r>
      <w:r>
        <w:rPr>
          <w:rFonts w:ascii="Bookman" w:hAnsi="Bookman"/>
        </w:rPr>
        <w:t xml:space="preserve">. Similarly, for N = </w:t>
      </w:r>
      <w:r w:rsidR="003164A7">
        <w:rPr>
          <w:rFonts w:ascii="Bookman" w:hAnsi="Bookman"/>
        </w:rPr>
        <w:t>12000000</w:t>
      </w:r>
      <w:r>
        <w:rPr>
          <w:rFonts w:ascii="Bookman" w:hAnsi="Bookman"/>
        </w:rPr>
        <w:t>, the obtained value of speedup</w:t>
      </w:r>
      <w:r w:rsidR="003164A7">
        <w:rPr>
          <w:rFonts w:ascii="Bookman" w:hAnsi="Bookman"/>
        </w:rPr>
        <w:t xml:space="preserve"> </w:t>
      </w:r>
      <w:r>
        <w:rPr>
          <w:rFonts w:ascii="Bookman" w:hAnsi="Bookman"/>
        </w:rPr>
        <w:t xml:space="preserve">is </w:t>
      </w:r>
      <w:r w:rsidR="003164A7">
        <w:rPr>
          <w:rFonts w:ascii="Bookman" w:hAnsi="Bookman"/>
        </w:rPr>
        <w:t>7.73</w:t>
      </w:r>
      <w:r>
        <w:rPr>
          <w:rFonts w:ascii="Bookman" w:hAnsi="Bookman"/>
        </w:rPr>
        <w:t xml:space="preserve"> at P = </w:t>
      </w:r>
      <w:r w:rsidR="003164A7">
        <w:rPr>
          <w:rFonts w:ascii="Bookman" w:hAnsi="Bookman"/>
        </w:rPr>
        <w:t>12</w:t>
      </w:r>
      <w:r>
        <w:rPr>
          <w:rFonts w:ascii="Bookman" w:hAnsi="Bookman"/>
        </w:rPr>
        <w:t xml:space="preserve"> </w:t>
      </w:r>
      <w:r w:rsidR="003164A7">
        <w:rPr>
          <w:rFonts w:ascii="Bookman" w:hAnsi="Bookman"/>
        </w:rPr>
        <w:t xml:space="preserve">which </w:t>
      </w:r>
      <w:r>
        <w:rPr>
          <w:rFonts w:ascii="Bookman" w:hAnsi="Bookman"/>
        </w:rPr>
        <w:t xml:space="preserve">degrades from the expected value of </w:t>
      </w:r>
      <w:r w:rsidR="003164A7">
        <w:rPr>
          <w:rFonts w:ascii="Bookman" w:hAnsi="Bookman"/>
        </w:rPr>
        <w:t>9</w:t>
      </w:r>
      <w:r>
        <w:rPr>
          <w:rFonts w:ascii="Bookman" w:hAnsi="Bookman"/>
        </w:rPr>
        <w:t>.</w:t>
      </w:r>
      <w:r w:rsidR="003164A7">
        <w:rPr>
          <w:rFonts w:ascii="Bookman" w:hAnsi="Bookman"/>
        </w:rPr>
        <w:t>75</w:t>
      </w:r>
      <w:r>
        <w:rPr>
          <w:rFonts w:ascii="Bookman" w:hAnsi="Bookman"/>
        </w:rPr>
        <w:t xml:space="preserve"> (which should be if the curve is linear). The same is true for N = </w:t>
      </w:r>
      <w:r w:rsidR="003164A7">
        <w:rPr>
          <w:rFonts w:ascii="Bookman" w:hAnsi="Bookman"/>
        </w:rPr>
        <w:t>120000000</w:t>
      </w:r>
      <w:r>
        <w:rPr>
          <w:rFonts w:ascii="Bookman" w:hAnsi="Bookman"/>
        </w:rPr>
        <w:t>.</w:t>
      </w:r>
    </w:p>
    <w:p w:rsidR="00D652B9" w:rsidRDefault="00D652B9" w:rsidP="00D652B9">
      <w:pPr>
        <w:pStyle w:val="NoSpacing"/>
        <w:ind w:left="1440"/>
        <w:rPr>
          <w:rFonts w:ascii="Bookman" w:hAnsi="Bookman"/>
        </w:rPr>
      </w:pPr>
      <w:r w:rsidRPr="0014117F">
        <w:rPr>
          <w:rFonts w:ascii="Bookman" w:hAnsi="Bookman"/>
        </w:rPr>
        <w:t xml:space="preserve">In </w:t>
      </w:r>
      <w:r>
        <w:rPr>
          <w:rFonts w:ascii="Bookman" w:hAnsi="Bookman"/>
        </w:rPr>
        <w:t>the examples mentioned above,</w:t>
      </w:r>
      <w:r w:rsidRPr="0014117F">
        <w:rPr>
          <w:rFonts w:ascii="Bookman" w:hAnsi="Bookman"/>
        </w:rPr>
        <w:t xml:space="preserve"> the communication cost involved when P </w:t>
      </w:r>
      <w:r>
        <w:rPr>
          <w:rFonts w:ascii="Bookman" w:hAnsi="Bookman"/>
        </w:rPr>
        <w:t>=</w:t>
      </w:r>
      <w:r w:rsidRPr="0014117F">
        <w:rPr>
          <w:rFonts w:ascii="Bookman" w:hAnsi="Bookman"/>
        </w:rPr>
        <w:t xml:space="preserve"> </w:t>
      </w:r>
      <w:r w:rsidR="006679B2">
        <w:rPr>
          <w:rFonts w:ascii="Bookman" w:hAnsi="Bookman"/>
        </w:rPr>
        <w:t>12</w:t>
      </w:r>
      <w:r w:rsidRPr="0014117F">
        <w:rPr>
          <w:rFonts w:ascii="Bookman" w:hAnsi="Bookman"/>
        </w:rPr>
        <w:t xml:space="preserve"> is much greater than the computation gain by sharing the workload among processors and as a result the performance degrades </w:t>
      </w:r>
      <w:r w:rsidR="006679B2">
        <w:rPr>
          <w:rFonts w:ascii="Bookman" w:hAnsi="Bookman"/>
        </w:rPr>
        <w:t>at</w:t>
      </w:r>
      <w:r w:rsidRPr="0014117F">
        <w:rPr>
          <w:rFonts w:ascii="Bookman" w:hAnsi="Bookman"/>
        </w:rPr>
        <w:t xml:space="preserve"> P = </w:t>
      </w:r>
      <w:r w:rsidR="006679B2">
        <w:rPr>
          <w:rFonts w:ascii="Bookman" w:hAnsi="Bookman"/>
        </w:rPr>
        <w:t>12</w:t>
      </w:r>
      <w:r w:rsidRPr="0014117F">
        <w:rPr>
          <w:rFonts w:ascii="Bookman" w:hAnsi="Bookman"/>
        </w:rPr>
        <w:t>.</w:t>
      </w:r>
      <w:r>
        <w:rPr>
          <w:rFonts w:ascii="Bookman" w:hAnsi="Bookman"/>
        </w:rPr>
        <w:t xml:space="preserve">   </w:t>
      </w:r>
    </w:p>
    <w:p w:rsidR="00D652B9" w:rsidRDefault="00D652B9" w:rsidP="00D652B9">
      <w:pPr>
        <w:pStyle w:val="NoSpacing"/>
        <w:ind w:left="1440"/>
        <w:rPr>
          <w:rFonts w:ascii="Bookman" w:hAnsi="Bookman"/>
        </w:rPr>
      </w:pPr>
    </w:p>
    <w:p w:rsidR="007F1315" w:rsidRDefault="007F1315" w:rsidP="007F1315">
      <w:pPr>
        <w:pStyle w:val="NoSpacing"/>
        <w:ind w:left="720"/>
        <w:rPr>
          <w:rFonts w:ascii="Bookman" w:hAnsi="Bookman"/>
        </w:rPr>
      </w:pPr>
    </w:p>
    <w:p w:rsidR="007F1315" w:rsidRPr="0004098D" w:rsidRDefault="007F1315" w:rsidP="0004098D">
      <w:pPr>
        <w:pStyle w:val="Heading4"/>
        <w:jc w:val="center"/>
        <w:rPr>
          <w:i w:val="0"/>
          <w:u w:val="single"/>
        </w:rPr>
      </w:pPr>
      <w:r w:rsidRPr="0004098D">
        <w:rPr>
          <w:i w:val="0"/>
          <w:u w:val="single"/>
        </w:rPr>
        <w:t>Linear or near linear speedup</w:t>
      </w:r>
    </w:p>
    <w:p w:rsidR="007F1315" w:rsidRDefault="007F1315" w:rsidP="007F1315">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AF04F5" w:rsidRDefault="007F1315" w:rsidP="00316261">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r w:rsidR="00124617">
        <w:rPr>
          <w:rFonts w:ascii="Bookman" w:hAnsi="Bookman"/>
        </w:rPr>
        <w:t xml:space="preserve"> (</w:t>
      </w:r>
      <w:r w:rsidR="00D64F7B">
        <w:rPr>
          <w:rFonts w:ascii="Bookman" w:hAnsi="Bookman"/>
        </w:rPr>
        <w:t>This is substantiated in Analysis 3 above.</w:t>
      </w:r>
      <w:r w:rsidR="00124617">
        <w:rPr>
          <w:rFonts w:ascii="Bookman" w:hAnsi="Bookman"/>
        </w:rPr>
        <w:t>)</w:t>
      </w: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241327" w:rsidP="0080136E">
      <w:pPr>
        <w:pStyle w:val="Title"/>
        <w:jc w:val="center"/>
      </w:pPr>
      <w:r>
        <w:lastRenderedPageBreak/>
        <w:t>Histogram</w:t>
      </w:r>
      <w:r w:rsidR="0080136E">
        <w:t xml:space="preserve"> Sort Using MPI</w:t>
      </w:r>
    </w:p>
    <w:p w:rsidR="0080136E" w:rsidRDefault="0080136E" w:rsidP="0080136E">
      <w:pPr>
        <w:pStyle w:val="Heading1"/>
        <w:jc w:val="center"/>
        <w:rPr>
          <w:u w:val="single"/>
        </w:rPr>
      </w:pPr>
      <w:r w:rsidRPr="00C81316">
        <w:rPr>
          <w:u w:val="single"/>
        </w:rPr>
        <w:t>Experimentation data for Serial computation</w:t>
      </w:r>
    </w:p>
    <w:p w:rsidR="0080136E" w:rsidRPr="007476A3" w:rsidRDefault="0080136E" w:rsidP="0080136E">
      <w:pPr>
        <w:rPr>
          <w:rFonts w:ascii="Bookman" w:hAnsi="Bookman"/>
        </w:rPr>
      </w:pPr>
      <w:r w:rsidRPr="004E55D2">
        <w:rPr>
          <w:rFonts w:ascii="Bookman" w:hAnsi="Bookman"/>
        </w:rPr>
        <w:t>For serial computation we have chosen</w:t>
      </w:r>
      <w:r>
        <w:rPr>
          <w:rFonts w:ascii="Bookman" w:hAnsi="Bookman"/>
        </w:rPr>
        <w:t xml:space="preserve"> the serial code with 12 buckets and obtained the runtimes with size = 120000, 1200000, 12000000, 120000000. These results will be used as the baseline to compare with the parallel models.</w:t>
      </w:r>
    </w:p>
    <w:tbl>
      <w:tblPr>
        <w:tblStyle w:val="TableGrid"/>
        <w:tblW w:w="0" w:type="auto"/>
        <w:jc w:val="center"/>
        <w:tblLook w:val="04A0" w:firstRow="1" w:lastRow="0" w:firstColumn="1" w:lastColumn="0" w:noHBand="0" w:noVBand="1"/>
      </w:tblPr>
      <w:tblGrid>
        <w:gridCol w:w="2536"/>
        <w:gridCol w:w="1778"/>
      </w:tblGrid>
      <w:tr w:rsidR="0080136E" w:rsidRPr="00F142EF" w:rsidTr="00464064">
        <w:trPr>
          <w:jc w:val="center"/>
        </w:trPr>
        <w:tc>
          <w:tcPr>
            <w:tcW w:w="2536" w:type="dxa"/>
          </w:tcPr>
          <w:p w:rsidR="0080136E" w:rsidRPr="00F142EF" w:rsidRDefault="0080136E" w:rsidP="00464064">
            <w:pPr>
              <w:jc w:val="center"/>
              <w:rPr>
                <w:rFonts w:ascii="Andalus" w:hAnsi="Andalus" w:cs="Andalus"/>
                <w:b/>
              </w:rPr>
            </w:pPr>
            <w:r>
              <w:rPr>
                <w:rFonts w:ascii="Andalus" w:hAnsi="Andalus" w:cs="Andalus"/>
                <w:b/>
              </w:rPr>
              <w:t>(N</w:t>
            </w:r>
            <w:r w:rsidRPr="00F142EF">
              <w:rPr>
                <w:rFonts w:ascii="Andalus" w:hAnsi="Andalus" w:cs="Andalus"/>
                <w:b/>
              </w:rPr>
              <w:t>)</w:t>
            </w:r>
          </w:p>
        </w:tc>
        <w:tc>
          <w:tcPr>
            <w:tcW w:w="1778" w:type="dxa"/>
          </w:tcPr>
          <w:p w:rsidR="0080136E" w:rsidRPr="00F142EF" w:rsidRDefault="0080136E" w:rsidP="00464064">
            <w:pPr>
              <w:rPr>
                <w:rFonts w:ascii="Andalus" w:hAnsi="Andalus" w:cs="Andalus"/>
                <w:b/>
              </w:rPr>
            </w:pPr>
            <w:r w:rsidRPr="00F142EF">
              <w:rPr>
                <w:rFonts w:ascii="Andalus" w:hAnsi="Andalus" w:cs="Andalus"/>
                <w:b/>
              </w:rPr>
              <w:t>Runtime (sec)</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0.060661</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0.449810</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4.006512</w:t>
            </w:r>
          </w:p>
        </w:tc>
      </w:tr>
      <w:tr w:rsidR="0080136E" w:rsidRPr="00F142EF" w:rsidTr="00464064">
        <w:trPr>
          <w:jc w:val="center"/>
        </w:trPr>
        <w:tc>
          <w:tcPr>
            <w:tcW w:w="2536" w:type="dxa"/>
          </w:tcPr>
          <w:p w:rsidR="0080136E" w:rsidRDefault="0080136E" w:rsidP="00464064">
            <w:pPr>
              <w:jc w:val="center"/>
              <w:rPr>
                <w:rFonts w:ascii="Andalus" w:hAnsi="Andalus" w:cs="Andalus"/>
              </w:rPr>
            </w:pPr>
            <w:r>
              <w:rPr>
                <w:rFonts w:ascii="Andalus" w:hAnsi="Andalus" w:cs="Andalus"/>
              </w:rPr>
              <w:t>120000000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45.562630</w:t>
            </w:r>
          </w:p>
        </w:tc>
      </w:tr>
    </w:tbl>
    <w:p w:rsidR="0080136E" w:rsidRPr="00C81316" w:rsidRDefault="0080136E" w:rsidP="0080136E">
      <w:pPr>
        <w:pStyle w:val="Heading1"/>
        <w:jc w:val="center"/>
        <w:rPr>
          <w:u w:val="single"/>
        </w:rPr>
      </w:pPr>
      <w:r>
        <w:rPr>
          <w:rFonts w:eastAsiaTheme="minorHAnsi"/>
          <w:u w:val="single"/>
        </w:rPr>
        <w:t xml:space="preserve">MPI Implementation </w:t>
      </w:r>
    </w:p>
    <w:p w:rsidR="00C81AFD" w:rsidRDefault="00C81AFD" w:rsidP="0080136E">
      <w:pPr>
        <w:pStyle w:val="Heading2"/>
        <w:rPr>
          <w:rFonts w:ascii="Bookman" w:hAnsi="Bookman"/>
          <w:u w:val="single"/>
        </w:rPr>
      </w:pPr>
    </w:p>
    <w:p w:rsidR="0080136E" w:rsidRPr="00DF119C" w:rsidRDefault="0080136E" w:rsidP="0080136E">
      <w:pPr>
        <w:pStyle w:val="Heading2"/>
        <w:rPr>
          <w:rFonts w:ascii="Bookman" w:hAnsi="Bookman"/>
          <w:u w:val="single"/>
        </w:rPr>
      </w:pPr>
      <w:r w:rsidRPr="00DF119C">
        <w:rPr>
          <w:rFonts w:ascii="Bookman" w:hAnsi="Bookman"/>
          <w:u w:val="single"/>
        </w:rPr>
        <w:t xml:space="preserve">Experimentation data </w:t>
      </w:r>
    </w:p>
    <w:p w:rsidR="0080136E" w:rsidRPr="00110D50" w:rsidRDefault="0080136E" w:rsidP="0080136E">
      <w:pPr>
        <w:pStyle w:val="Heading3"/>
        <w:rPr>
          <w:rFonts w:ascii="Bookman" w:hAnsi="Bookman"/>
          <w:u w:val="single"/>
        </w:rPr>
      </w:pPr>
      <w:r w:rsidRPr="00DF119C">
        <w:rPr>
          <w:rFonts w:ascii="Bookman" w:hAnsi="Bookman"/>
          <w:u w:val="single"/>
        </w:rPr>
        <w:t>Tabular Representation</w:t>
      </w:r>
    </w:p>
    <w:p w:rsidR="0080136E" w:rsidRPr="005173FB" w:rsidRDefault="0080136E" w:rsidP="0080136E">
      <w:pPr>
        <w:pStyle w:val="NoSpacing"/>
        <w:rPr>
          <w:rFonts w:ascii="Bookman" w:hAnsi="Bookman"/>
          <w:b/>
        </w:rPr>
      </w:pPr>
      <w:r w:rsidRPr="005173FB">
        <w:rPr>
          <w:rFonts w:ascii="Bookman" w:hAnsi="Bookman"/>
          <w:b/>
        </w:rPr>
        <w:t>Note: The speedup is calculated using (</w:t>
      </w:r>
      <w:r>
        <w:rPr>
          <w:rFonts w:ascii="Bookman" w:hAnsi="Bookman"/>
          <w:b/>
        </w:rPr>
        <w:t xml:space="preserve">serial runtime calculated above </w:t>
      </w:r>
      <w:r w:rsidRPr="005173FB">
        <w:rPr>
          <w:rFonts w:ascii="Bookman" w:hAnsi="Bookman"/>
          <w:b/>
        </w:rPr>
        <w:t>/ runtime for P).</w:t>
      </w:r>
      <w:r>
        <w:rPr>
          <w:rFonts w:ascii="Bookman" w:hAnsi="Bookman"/>
          <w:b/>
        </w:rPr>
        <w:t xml:space="preserve"> </w:t>
      </w: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80136E" w:rsidRPr="003B14FC" w:rsidRDefault="0080136E" w:rsidP="0080136E">
      <w:pPr>
        <w:pStyle w:val="NoSpacing"/>
      </w:pPr>
    </w:p>
    <w:tbl>
      <w:tblPr>
        <w:tblStyle w:val="TableGrid"/>
        <w:tblW w:w="0" w:type="auto"/>
        <w:jc w:val="center"/>
        <w:tblLook w:val="04A0" w:firstRow="1" w:lastRow="0" w:firstColumn="1" w:lastColumn="0" w:noHBand="0" w:noVBand="1"/>
      </w:tblPr>
      <w:tblGrid>
        <w:gridCol w:w="1569"/>
        <w:gridCol w:w="1727"/>
        <w:gridCol w:w="1299"/>
      </w:tblGrid>
      <w:tr w:rsidR="0080136E" w:rsidRPr="00670DBC" w:rsidTr="00A62808">
        <w:trPr>
          <w:jc w:val="center"/>
        </w:trPr>
        <w:tc>
          <w:tcPr>
            <w:tcW w:w="1569"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lastRenderedPageBreak/>
              <w:t>P</w:t>
            </w:r>
          </w:p>
        </w:tc>
        <w:tc>
          <w:tcPr>
            <w:tcW w:w="1727"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t>Runtime (seconds)</w:t>
            </w:r>
          </w:p>
        </w:tc>
        <w:tc>
          <w:tcPr>
            <w:tcW w:w="1299"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t>Speedup</w:t>
            </w:r>
          </w:p>
        </w:tc>
      </w:tr>
      <w:tr w:rsidR="0080136E" w:rsidRPr="00670DBC" w:rsidTr="00A62808">
        <w:trPr>
          <w:jc w:val="center"/>
        </w:trPr>
        <w:tc>
          <w:tcPr>
            <w:tcW w:w="4595" w:type="dxa"/>
            <w:gridSpan w:val="3"/>
            <w:shd w:val="clear" w:color="auto" w:fill="808080" w:themeFill="background1" w:themeFillShade="80"/>
          </w:tcPr>
          <w:p w:rsidR="0080136E" w:rsidRPr="003E3DC4" w:rsidRDefault="0080136E" w:rsidP="00464064">
            <w:pPr>
              <w:jc w:val="center"/>
              <w:rPr>
                <w:rFonts w:ascii="Andalus" w:hAnsi="Andalus" w:cs="Andalus"/>
                <w:b/>
              </w:rPr>
            </w:pPr>
            <w:r>
              <w:rPr>
                <w:rFonts w:ascii="Andalus" w:hAnsi="Andalus" w:cs="Andalus"/>
                <w:b/>
              </w:rPr>
              <w:t>N = 12</w:t>
            </w:r>
            <w:r w:rsidRPr="003E3DC4">
              <w:rPr>
                <w:rFonts w:ascii="Andalus" w:hAnsi="Andalus" w:cs="Andalus"/>
                <w:b/>
              </w:rPr>
              <w:t>0000</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2</w:t>
            </w:r>
          </w:p>
        </w:tc>
        <w:tc>
          <w:tcPr>
            <w:tcW w:w="1727" w:type="dxa"/>
            <w:tcBorders>
              <w:bottom w:val="single" w:sz="4" w:space="0" w:color="auto"/>
            </w:tcBorders>
          </w:tcPr>
          <w:p w:rsidR="0080136E" w:rsidRPr="00670DBC" w:rsidRDefault="00CF186D" w:rsidP="00A62808">
            <w:pPr>
              <w:jc w:val="center"/>
              <w:rPr>
                <w:rFonts w:ascii="Andalus" w:hAnsi="Andalus" w:cs="Andalus"/>
              </w:rPr>
            </w:pPr>
            <w:r w:rsidRPr="00CF186D">
              <w:rPr>
                <w:rFonts w:ascii="Andalus" w:hAnsi="Andalus" w:cs="Andalus"/>
              </w:rPr>
              <w:t>.034180</w:t>
            </w:r>
          </w:p>
        </w:tc>
        <w:tc>
          <w:tcPr>
            <w:tcW w:w="1299" w:type="dxa"/>
            <w:tcBorders>
              <w:bottom w:val="single" w:sz="4" w:space="0" w:color="auto"/>
            </w:tcBorders>
          </w:tcPr>
          <w:p w:rsidR="0080136E" w:rsidRPr="00670DBC" w:rsidRDefault="009823A6" w:rsidP="00A62808">
            <w:pPr>
              <w:jc w:val="center"/>
              <w:rPr>
                <w:rFonts w:ascii="Andalus" w:hAnsi="Andalus" w:cs="Andalus"/>
              </w:rPr>
            </w:pPr>
            <w:r w:rsidRPr="009823A6">
              <w:rPr>
                <w:rFonts w:ascii="Andalus" w:hAnsi="Andalus" w:cs="Andalus"/>
              </w:rPr>
              <w:t>1.774720</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shd w:val="clear" w:color="auto" w:fill="92D050"/>
          </w:tcPr>
          <w:p w:rsidR="0080136E" w:rsidRPr="00670DBC" w:rsidRDefault="00CF186D" w:rsidP="00A62808">
            <w:pPr>
              <w:jc w:val="center"/>
              <w:rPr>
                <w:rFonts w:ascii="Andalus" w:hAnsi="Andalus" w:cs="Andalus"/>
              </w:rPr>
            </w:pPr>
            <w:r w:rsidRPr="00CF186D">
              <w:rPr>
                <w:rFonts w:ascii="Andalus" w:hAnsi="Andalus" w:cs="Andalus"/>
              </w:rPr>
              <w:t>.013763</w:t>
            </w:r>
          </w:p>
        </w:tc>
        <w:tc>
          <w:tcPr>
            <w:tcW w:w="1299" w:type="dxa"/>
            <w:tcBorders>
              <w:bottom w:val="single" w:sz="4" w:space="0" w:color="auto"/>
            </w:tcBorders>
            <w:shd w:val="clear" w:color="auto" w:fill="92D050"/>
          </w:tcPr>
          <w:p w:rsidR="0080136E" w:rsidRPr="00670DBC" w:rsidRDefault="009823A6" w:rsidP="00A62808">
            <w:pPr>
              <w:jc w:val="center"/>
              <w:rPr>
                <w:rFonts w:ascii="Andalus" w:hAnsi="Andalus" w:cs="Andalus"/>
              </w:rPr>
            </w:pPr>
            <w:r w:rsidRPr="009823A6">
              <w:rPr>
                <w:rFonts w:ascii="Andalus" w:hAnsi="Andalus" w:cs="Andalus"/>
              </w:rPr>
              <w:t>4.407349</w:t>
            </w:r>
          </w:p>
        </w:tc>
      </w:tr>
      <w:tr w:rsidR="0080136E" w:rsidRPr="00670DBC" w:rsidTr="00A62808">
        <w:trPr>
          <w:jc w:val="center"/>
        </w:trPr>
        <w:tc>
          <w:tcPr>
            <w:tcW w:w="1569" w:type="dxa"/>
            <w:tcBorders>
              <w:bottom w:val="single" w:sz="4" w:space="0" w:color="auto"/>
            </w:tcBorders>
            <w:shd w:val="clear" w:color="auto" w:fill="FFFFFF" w:themeFill="background1"/>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FFFFFF" w:themeFill="background1"/>
          </w:tcPr>
          <w:p w:rsidR="0080136E" w:rsidRPr="00670DBC" w:rsidRDefault="00CF186D" w:rsidP="00A62808">
            <w:pPr>
              <w:jc w:val="center"/>
              <w:rPr>
                <w:rFonts w:ascii="Andalus" w:hAnsi="Andalus" w:cs="Andalus"/>
              </w:rPr>
            </w:pPr>
            <w:r w:rsidRPr="00CF186D">
              <w:rPr>
                <w:rFonts w:ascii="Andalus" w:hAnsi="Andalus" w:cs="Andalus"/>
              </w:rPr>
              <w:t>.034938</w:t>
            </w:r>
          </w:p>
        </w:tc>
        <w:tc>
          <w:tcPr>
            <w:tcW w:w="1299" w:type="dxa"/>
            <w:tcBorders>
              <w:bottom w:val="single" w:sz="4" w:space="0" w:color="auto"/>
            </w:tcBorders>
            <w:shd w:val="clear" w:color="auto" w:fill="FFFFFF" w:themeFill="background1"/>
          </w:tcPr>
          <w:p w:rsidR="0080136E" w:rsidRPr="00670DBC" w:rsidRDefault="009823A6" w:rsidP="00A62808">
            <w:pPr>
              <w:jc w:val="center"/>
              <w:rPr>
                <w:rFonts w:ascii="Andalus" w:hAnsi="Andalus" w:cs="Andalus"/>
              </w:rPr>
            </w:pPr>
            <w:r w:rsidRPr="009823A6">
              <w:rPr>
                <w:rFonts w:ascii="Andalus" w:hAnsi="Andalus" w:cs="Andalus"/>
              </w:rPr>
              <w:t>1.736207</w:t>
            </w:r>
          </w:p>
        </w:tc>
      </w:tr>
      <w:tr w:rsidR="0080136E" w:rsidRPr="00670DBC" w:rsidTr="00A62808">
        <w:trPr>
          <w:jc w:val="center"/>
        </w:trPr>
        <w:tc>
          <w:tcPr>
            <w:tcW w:w="4595" w:type="dxa"/>
            <w:gridSpan w:val="3"/>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w:t>
            </w:r>
          </w:p>
        </w:tc>
      </w:tr>
      <w:tr w:rsidR="0080136E" w:rsidRPr="00670DBC" w:rsidTr="00A62808">
        <w:trPr>
          <w:jc w:val="center"/>
        </w:trPr>
        <w:tc>
          <w:tcPr>
            <w:tcW w:w="1569" w:type="dxa"/>
          </w:tcPr>
          <w:p w:rsidR="0080136E" w:rsidRPr="00670DBC" w:rsidRDefault="0080136E" w:rsidP="00A62808">
            <w:pPr>
              <w:jc w:val="center"/>
              <w:rPr>
                <w:rFonts w:ascii="Andalus" w:hAnsi="Andalus" w:cs="Andalus"/>
              </w:rPr>
            </w:pPr>
            <w:r>
              <w:rPr>
                <w:rFonts w:ascii="Andalus" w:hAnsi="Andalus" w:cs="Andalus"/>
              </w:rPr>
              <w:t>2</w:t>
            </w:r>
          </w:p>
        </w:tc>
        <w:tc>
          <w:tcPr>
            <w:tcW w:w="1727" w:type="dxa"/>
          </w:tcPr>
          <w:p w:rsidR="0080136E" w:rsidRPr="00670DBC" w:rsidRDefault="00DA3500" w:rsidP="00A62808">
            <w:pPr>
              <w:jc w:val="center"/>
              <w:rPr>
                <w:rFonts w:ascii="Andalus" w:hAnsi="Andalus" w:cs="Andalus"/>
              </w:rPr>
            </w:pPr>
            <w:r w:rsidRPr="00DA3500">
              <w:rPr>
                <w:rFonts w:ascii="Andalus" w:hAnsi="Andalus" w:cs="Andalus"/>
              </w:rPr>
              <w:t>.283378</w:t>
            </w:r>
          </w:p>
        </w:tc>
        <w:tc>
          <w:tcPr>
            <w:tcW w:w="1299" w:type="dxa"/>
          </w:tcPr>
          <w:p w:rsidR="0080136E" w:rsidRPr="00670DBC" w:rsidRDefault="00DA3500" w:rsidP="00A62808">
            <w:pPr>
              <w:jc w:val="center"/>
              <w:rPr>
                <w:rFonts w:ascii="Andalus" w:hAnsi="Andalus" w:cs="Andalus"/>
              </w:rPr>
            </w:pPr>
            <w:r w:rsidRPr="00DA3500">
              <w:rPr>
                <w:rFonts w:ascii="Andalus" w:hAnsi="Andalus" w:cs="Andalus"/>
              </w:rPr>
              <w:t>1.587312</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.127599</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3.525173</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.078755</w:t>
            </w:r>
          </w:p>
        </w:tc>
        <w:tc>
          <w:tcPr>
            <w:tcW w:w="1299"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5.711481</w:t>
            </w:r>
          </w:p>
        </w:tc>
      </w:tr>
      <w:tr w:rsidR="0080136E" w:rsidRPr="00670DBC" w:rsidTr="00A62808">
        <w:trPr>
          <w:jc w:val="center"/>
        </w:trPr>
        <w:tc>
          <w:tcPr>
            <w:tcW w:w="4595" w:type="dxa"/>
            <w:gridSpan w:val="3"/>
            <w:tcBorders>
              <w:bottom w:val="single" w:sz="4" w:space="0" w:color="auto"/>
            </w:tcBorders>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12000000</w:t>
            </w:r>
          </w:p>
        </w:tc>
      </w:tr>
      <w:tr w:rsidR="0080136E" w:rsidRPr="00670DBC" w:rsidTr="00A62808">
        <w:trPr>
          <w:jc w:val="center"/>
        </w:trPr>
        <w:tc>
          <w:tcPr>
            <w:tcW w:w="1569" w:type="dxa"/>
            <w:shd w:val="clear" w:color="auto" w:fill="auto"/>
          </w:tcPr>
          <w:p w:rsidR="0080136E" w:rsidRPr="00670DBC" w:rsidRDefault="0080136E" w:rsidP="00A62808">
            <w:pPr>
              <w:jc w:val="center"/>
              <w:rPr>
                <w:rFonts w:ascii="Andalus" w:hAnsi="Andalus" w:cs="Andalus"/>
              </w:rPr>
            </w:pPr>
            <w:r>
              <w:rPr>
                <w:rFonts w:ascii="Andalus" w:hAnsi="Andalus" w:cs="Andalus"/>
              </w:rPr>
              <w:t>2</w:t>
            </w:r>
          </w:p>
        </w:tc>
        <w:tc>
          <w:tcPr>
            <w:tcW w:w="1727" w:type="dxa"/>
            <w:shd w:val="clear" w:color="auto" w:fill="auto"/>
          </w:tcPr>
          <w:p w:rsidR="0080136E" w:rsidRPr="00670DBC" w:rsidRDefault="00DA3500" w:rsidP="00A62808">
            <w:pPr>
              <w:jc w:val="center"/>
              <w:rPr>
                <w:rFonts w:ascii="Andalus" w:hAnsi="Andalus" w:cs="Andalus"/>
              </w:rPr>
            </w:pPr>
            <w:r w:rsidRPr="00DA3500">
              <w:rPr>
                <w:rFonts w:ascii="Andalus" w:hAnsi="Andalus" w:cs="Andalus"/>
              </w:rPr>
              <w:t>2.280247</w:t>
            </w:r>
          </w:p>
        </w:tc>
        <w:tc>
          <w:tcPr>
            <w:tcW w:w="1299" w:type="dxa"/>
            <w:shd w:val="clear" w:color="auto" w:fill="auto"/>
          </w:tcPr>
          <w:p w:rsidR="0080136E" w:rsidRPr="00670DBC" w:rsidRDefault="00DA3500" w:rsidP="00A62808">
            <w:pPr>
              <w:jc w:val="center"/>
              <w:rPr>
                <w:rFonts w:ascii="Andalus" w:hAnsi="Andalus" w:cs="Andalus"/>
              </w:rPr>
            </w:pPr>
            <w:r w:rsidRPr="00DA3500">
              <w:rPr>
                <w:rFonts w:ascii="Andalus" w:hAnsi="Andalus" w:cs="Andalus"/>
              </w:rPr>
              <w:t>1.757051</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.873000</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4.589360</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.5860612</w:t>
            </w:r>
          </w:p>
        </w:tc>
        <w:tc>
          <w:tcPr>
            <w:tcW w:w="1299"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6.836337</w:t>
            </w:r>
          </w:p>
        </w:tc>
      </w:tr>
      <w:tr w:rsidR="0080136E" w:rsidRPr="00670DBC" w:rsidTr="00A62808">
        <w:trPr>
          <w:jc w:val="center"/>
        </w:trPr>
        <w:tc>
          <w:tcPr>
            <w:tcW w:w="4595" w:type="dxa"/>
            <w:gridSpan w:val="3"/>
            <w:tcBorders>
              <w:bottom w:val="single" w:sz="4" w:space="0" w:color="auto"/>
            </w:tcBorders>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120000000</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2</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25.159230</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1.810970</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9.624384</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4.734082</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6.537176</w:t>
            </w:r>
          </w:p>
        </w:tc>
        <w:tc>
          <w:tcPr>
            <w:tcW w:w="1299"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6.969772</w:t>
            </w:r>
          </w:p>
        </w:tc>
      </w:tr>
    </w:tbl>
    <w:p w:rsidR="0080136E" w:rsidRPr="00DF119C" w:rsidRDefault="0080136E" w:rsidP="0080136E">
      <w:pPr>
        <w:pStyle w:val="Heading3"/>
        <w:rPr>
          <w:u w:val="single"/>
        </w:rPr>
      </w:pPr>
      <w:r w:rsidRPr="00DF119C">
        <w:rPr>
          <w:u w:val="single"/>
        </w:rPr>
        <w:t>Graphical Representation</w:t>
      </w:r>
    </w:p>
    <w:p w:rsidR="0080136E" w:rsidRDefault="0080136E" w:rsidP="0080136E">
      <w:pPr>
        <w:pStyle w:val="Heading3"/>
      </w:pPr>
      <w:r>
        <w:t xml:space="preserve"> </w:t>
      </w:r>
    </w:p>
    <w:p w:rsidR="0080136E" w:rsidRDefault="0080136E" w:rsidP="0080136E">
      <w:r>
        <w:rPr>
          <w:noProof/>
        </w:rPr>
        <w:drawing>
          <wp:inline distT="0" distB="0" distL="0" distR="0" wp14:anchorId="0097051F" wp14:editId="3CAC235E">
            <wp:extent cx="5486400" cy="3581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136E" w:rsidRPr="00961707" w:rsidRDefault="0080136E" w:rsidP="0080136E"/>
    <w:p w:rsidR="0080136E" w:rsidRDefault="0080136E" w:rsidP="0080136E">
      <w:pPr>
        <w:rPr>
          <w:rFonts w:ascii="Bookman" w:hAnsi="Bookman"/>
        </w:rPr>
      </w:pPr>
      <w:r>
        <w:rPr>
          <w:noProof/>
        </w:rPr>
        <w:drawing>
          <wp:inline distT="0" distB="0" distL="0" distR="0" wp14:anchorId="32D5B454" wp14:editId="4B73BE07">
            <wp:extent cx="5486400" cy="3581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136E" w:rsidRPr="00455C95" w:rsidRDefault="0080136E" w:rsidP="0080136E">
      <w:pPr>
        <w:pStyle w:val="Heading3"/>
        <w:rPr>
          <w:rFonts w:eastAsiaTheme="minorHAnsi"/>
          <w:u w:val="single"/>
        </w:rPr>
      </w:pPr>
      <w:r w:rsidRPr="00455C95">
        <w:rPr>
          <w:rFonts w:eastAsiaTheme="minorHAnsi"/>
          <w:u w:val="single"/>
        </w:rPr>
        <w:t>Analysis</w:t>
      </w:r>
    </w:p>
    <w:p w:rsidR="0080136E" w:rsidRPr="005A7AB5" w:rsidRDefault="0080136E" w:rsidP="0080136E">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80136E" w:rsidRDefault="0080136E" w:rsidP="0080136E">
      <w:pPr>
        <w:pStyle w:val="NoSpacing"/>
        <w:rPr>
          <w:rFonts w:ascii="Bookman" w:hAnsi="Bookman"/>
          <w:b/>
        </w:rPr>
      </w:pPr>
      <w:r w:rsidRPr="005A7AB5">
        <w:rPr>
          <w:rFonts w:ascii="Bookman" w:hAnsi="Bookman"/>
          <w:b/>
        </w:rPr>
        <w:t>Answer.</w:t>
      </w:r>
    </w:p>
    <w:p w:rsidR="0080136E" w:rsidRPr="0004098D" w:rsidRDefault="0080136E" w:rsidP="0080136E">
      <w:pPr>
        <w:pStyle w:val="Heading4"/>
        <w:jc w:val="center"/>
        <w:rPr>
          <w:i w:val="0"/>
          <w:u w:val="single"/>
        </w:rPr>
      </w:pPr>
      <w:r w:rsidRPr="0004098D">
        <w:rPr>
          <w:i w:val="0"/>
          <w:u w:val="single"/>
        </w:rPr>
        <w:t>Discussion on results</w:t>
      </w:r>
    </w:p>
    <w:p w:rsidR="0080136E" w:rsidRPr="00E32183" w:rsidRDefault="0080136E" w:rsidP="006C79B5">
      <w:pPr>
        <w:pStyle w:val="ListParagraph"/>
        <w:numPr>
          <w:ilvl w:val="0"/>
          <w:numId w:val="8"/>
        </w:numPr>
        <w:rPr>
          <w:rFonts w:ascii="Bookman" w:hAnsi="Bookman"/>
        </w:rPr>
      </w:pPr>
      <w:bookmarkStart w:id="0" w:name="_GoBack"/>
      <w:bookmarkEnd w:id="0"/>
      <w:r w:rsidRPr="0014117F">
        <w:rPr>
          <w:rFonts w:ascii="Bookman" w:hAnsi="Bookman"/>
        </w:rPr>
        <w:t xml:space="preserve">For </w:t>
      </w:r>
      <w:r>
        <w:rPr>
          <w:rFonts w:ascii="Bookman" w:hAnsi="Bookman"/>
        </w:rPr>
        <w:t>N = 120000, the speedup drops down after P = 6.</w:t>
      </w:r>
    </w:p>
    <w:p w:rsidR="0080136E" w:rsidRPr="00E32183" w:rsidRDefault="0066125B" w:rsidP="006C79B5">
      <w:pPr>
        <w:pStyle w:val="ListParagraph"/>
        <w:numPr>
          <w:ilvl w:val="1"/>
          <w:numId w:val="8"/>
        </w:numPr>
        <w:rPr>
          <w:rFonts w:ascii="Bookman" w:hAnsi="Bookman"/>
        </w:rPr>
      </w:pPr>
      <w:r>
        <w:rPr>
          <w:rFonts w:ascii="Bookman" w:hAnsi="Bookman"/>
        </w:rPr>
        <w:t>Here</w:t>
      </w:r>
      <w:r w:rsidR="0080136E" w:rsidRPr="0014117F">
        <w:rPr>
          <w:rFonts w:ascii="Bookman" w:hAnsi="Bookman"/>
        </w:rPr>
        <w:t xml:space="preserve"> the communication cost involved when P </w:t>
      </w:r>
      <w:r w:rsidR="0080136E">
        <w:rPr>
          <w:rFonts w:ascii="Bookman" w:hAnsi="Bookman"/>
        </w:rPr>
        <w:t>&gt; 6</w:t>
      </w:r>
      <w:r w:rsidR="0080136E" w:rsidRPr="0014117F">
        <w:rPr>
          <w:rFonts w:ascii="Bookman" w:hAnsi="Bookman"/>
        </w:rPr>
        <w:t xml:space="preserve"> is much greater than the computation gain by sharing the workload among processors and as a result the performance degrades after P = </w:t>
      </w:r>
      <w:r w:rsidR="0080136E">
        <w:rPr>
          <w:rFonts w:ascii="Bookman" w:hAnsi="Bookman"/>
        </w:rPr>
        <w:t>6</w:t>
      </w:r>
      <w:r w:rsidR="0080136E" w:rsidRPr="0014117F">
        <w:rPr>
          <w:rFonts w:ascii="Bookman" w:hAnsi="Bookman"/>
        </w:rPr>
        <w:t>.</w:t>
      </w:r>
    </w:p>
    <w:p w:rsidR="0080136E" w:rsidRDefault="0080136E" w:rsidP="006C79B5">
      <w:pPr>
        <w:pStyle w:val="NoSpacing"/>
        <w:numPr>
          <w:ilvl w:val="0"/>
          <w:numId w:val="8"/>
        </w:numPr>
        <w:rPr>
          <w:rFonts w:ascii="Bookman" w:hAnsi="Bookman"/>
        </w:rPr>
      </w:pPr>
      <w:r>
        <w:rPr>
          <w:rFonts w:ascii="Bookman" w:hAnsi="Bookman"/>
        </w:rPr>
        <w:t>For a given N, the speedup increases with value of P.</w:t>
      </w:r>
    </w:p>
    <w:p w:rsidR="0080136E" w:rsidRDefault="0080136E" w:rsidP="006C79B5">
      <w:pPr>
        <w:pStyle w:val="NoSpacing"/>
        <w:numPr>
          <w:ilvl w:val="1"/>
          <w:numId w:val="8"/>
        </w:numPr>
        <w:rPr>
          <w:rFonts w:ascii="Bookman" w:hAnsi="Bookman"/>
        </w:rPr>
      </w:pPr>
      <w:r>
        <w:rPr>
          <w:rFonts w:ascii="Bookman" w:hAnsi="Bookman"/>
        </w:rPr>
        <w:t>With more number of P, the workload per process (N/P) decreases leading to better overall performance (or lesser runtime).</w:t>
      </w:r>
    </w:p>
    <w:p w:rsidR="0080136E" w:rsidRDefault="0080136E" w:rsidP="0080136E">
      <w:pPr>
        <w:pStyle w:val="NoSpacing"/>
        <w:ind w:left="720"/>
        <w:rPr>
          <w:rFonts w:ascii="Bookman" w:hAnsi="Bookman"/>
        </w:rPr>
      </w:pPr>
    </w:p>
    <w:p w:rsidR="0080136E" w:rsidRDefault="0080136E" w:rsidP="006C79B5">
      <w:pPr>
        <w:pStyle w:val="NoSpacing"/>
        <w:numPr>
          <w:ilvl w:val="0"/>
          <w:numId w:val="8"/>
        </w:numPr>
        <w:rPr>
          <w:rFonts w:ascii="Bookman" w:hAnsi="Bookman"/>
        </w:rPr>
      </w:pPr>
      <w:r>
        <w:rPr>
          <w:rFonts w:ascii="Bookman" w:hAnsi="Bookman"/>
        </w:rPr>
        <w:t>With very large values of P, the performance curve breaks the linear behavior.</w:t>
      </w:r>
    </w:p>
    <w:p w:rsidR="0080136E" w:rsidRDefault="0080136E" w:rsidP="006C79B5">
      <w:pPr>
        <w:pStyle w:val="NoSpacing"/>
        <w:numPr>
          <w:ilvl w:val="1"/>
          <w:numId w:val="8"/>
        </w:numPr>
        <w:rPr>
          <w:rFonts w:ascii="Bookman" w:hAnsi="Bookman"/>
        </w:rPr>
      </w:pPr>
      <w:r>
        <w:rPr>
          <w:rFonts w:ascii="Bookman" w:hAnsi="Bookman"/>
        </w:rPr>
        <w:t xml:space="preserve">Let take the example of N=1200000. Had the curve been linear, then the expected value of speedup at P = 12 is </w:t>
      </w:r>
      <w:r w:rsidR="0066125B">
        <w:rPr>
          <w:rFonts w:ascii="Bookman" w:hAnsi="Bookman"/>
        </w:rPr>
        <w:t>7</w:t>
      </w:r>
      <w:r w:rsidRPr="003164A7">
        <w:rPr>
          <w:rFonts w:ascii="Bookman" w:hAnsi="Bookman"/>
        </w:rPr>
        <w:t>.</w:t>
      </w:r>
      <w:r w:rsidR="0066125B">
        <w:rPr>
          <w:rFonts w:ascii="Bookman" w:hAnsi="Bookman"/>
        </w:rPr>
        <w:t>05</w:t>
      </w:r>
      <w:r>
        <w:rPr>
          <w:rFonts w:ascii="Bookman" w:hAnsi="Bookman"/>
        </w:rPr>
        <w:t xml:space="preserve">, but we got </w:t>
      </w:r>
      <w:r w:rsidR="0066125B" w:rsidRPr="0066125B">
        <w:rPr>
          <w:rFonts w:ascii="Bookman" w:hAnsi="Bookman"/>
        </w:rPr>
        <w:t>5.711481</w:t>
      </w:r>
      <w:r>
        <w:rPr>
          <w:rFonts w:ascii="Bookman" w:hAnsi="Bookman"/>
        </w:rPr>
        <w:t xml:space="preserve">. Similarly, for N = 12000000, the obtained value of speedup is </w:t>
      </w:r>
      <w:r w:rsidR="0066125B">
        <w:rPr>
          <w:rFonts w:ascii="Bookman" w:hAnsi="Bookman"/>
        </w:rPr>
        <w:t>6</w:t>
      </w:r>
      <w:r>
        <w:rPr>
          <w:rFonts w:ascii="Bookman" w:hAnsi="Bookman"/>
        </w:rPr>
        <w:t>.</w:t>
      </w:r>
      <w:r w:rsidR="0066125B">
        <w:rPr>
          <w:rFonts w:ascii="Bookman" w:hAnsi="Bookman"/>
        </w:rPr>
        <w:t>83</w:t>
      </w:r>
      <w:r>
        <w:rPr>
          <w:rFonts w:ascii="Bookman" w:hAnsi="Bookman"/>
        </w:rPr>
        <w:t xml:space="preserve"> at P = 12 which degrades from the expected value of 9.</w:t>
      </w:r>
      <w:r w:rsidR="0066125B">
        <w:rPr>
          <w:rFonts w:ascii="Bookman" w:hAnsi="Bookman"/>
        </w:rPr>
        <w:t>17</w:t>
      </w:r>
      <w:r>
        <w:rPr>
          <w:rFonts w:ascii="Bookman" w:hAnsi="Bookman"/>
        </w:rPr>
        <w:t xml:space="preserve"> (which should be if the curve is linear). The same is true for N = 120000000.</w:t>
      </w:r>
    </w:p>
    <w:p w:rsidR="0080136E" w:rsidRDefault="0080136E" w:rsidP="0080136E">
      <w:pPr>
        <w:pStyle w:val="NoSpacing"/>
        <w:ind w:left="1440"/>
        <w:rPr>
          <w:rFonts w:ascii="Bookman" w:hAnsi="Bookman"/>
        </w:rPr>
      </w:pPr>
      <w:r w:rsidRPr="0014117F">
        <w:rPr>
          <w:rFonts w:ascii="Bookman" w:hAnsi="Bookman"/>
        </w:rPr>
        <w:t xml:space="preserve">In </w:t>
      </w:r>
      <w:r>
        <w:rPr>
          <w:rFonts w:ascii="Bookman" w:hAnsi="Bookman"/>
        </w:rPr>
        <w:t>the examples mentioned above,</w:t>
      </w:r>
      <w:r w:rsidRPr="0014117F">
        <w:rPr>
          <w:rFonts w:ascii="Bookman" w:hAnsi="Bookman"/>
        </w:rPr>
        <w:t xml:space="preserve"> the communication cost involved when P </w:t>
      </w:r>
      <w:r>
        <w:rPr>
          <w:rFonts w:ascii="Bookman" w:hAnsi="Bookman"/>
        </w:rPr>
        <w:t>=</w:t>
      </w:r>
      <w:r w:rsidRPr="0014117F">
        <w:rPr>
          <w:rFonts w:ascii="Bookman" w:hAnsi="Bookman"/>
        </w:rPr>
        <w:t xml:space="preserve"> </w:t>
      </w:r>
      <w:r>
        <w:rPr>
          <w:rFonts w:ascii="Bookman" w:hAnsi="Bookman"/>
        </w:rPr>
        <w:t>12</w:t>
      </w:r>
      <w:r w:rsidRPr="0014117F">
        <w:rPr>
          <w:rFonts w:ascii="Bookman" w:hAnsi="Bookman"/>
        </w:rPr>
        <w:t xml:space="preserve"> is much greater than the computation gain by sharing the workload among processors and as a result the performance degrades </w:t>
      </w:r>
      <w:r>
        <w:rPr>
          <w:rFonts w:ascii="Bookman" w:hAnsi="Bookman"/>
        </w:rPr>
        <w:t>at</w:t>
      </w:r>
      <w:r w:rsidRPr="0014117F">
        <w:rPr>
          <w:rFonts w:ascii="Bookman" w:hAnsi="Bookman"/>
        </w:rPr>
        <w:t xml:space="preserve"> P = </w:t>
      </w:r>
      <w:r>
        <w:rPr>
          <w:rFonts w:ascii="Bookman" w:hAnsi="Bookman"/>
        </w:rPr>
        <w:t>12</w:t>
      </w:r>
      <w:r w:rsidRPr="0014117F">
        <w:rPr>
          <w:rFonts w:ascii="Bookman" w:hAnsi="Bookman"/>
        </w:rPr>
        <w:t>.</w:t>
      </w:r>
      <w:r>
        <w:rPr>
          <w:rFonts w:ascii="Bookman" w:hAnsi="Bookman"/>
        </w:rPr>
        <w:t xml:space="preserve">   </w:t>
      </w:r>
    </w:p>
    <w:p w:rsidR="0080136E" w:rsidRDefault="0080136E" w:rsidP="0080136E">
      <w:pPr>
        <w:pStyle w:val="NoSpacing"/>
        <w:ind w:left="1440"/>
        <w:rPr>
          <w:rFonts w:ascii="Bookman" w:hAnsi="Bookman"/>
        </w:rPr>
      </w:pPr>
    </w:p>
    <w:p w:rsidR="0080136E" w:rsidRDefault="0080136E" w:rsidP="0080136E">
      <w:pPr>
        <w:pStyle w:val="NoSpacing"/>
        <w:ind w:left="720"/>
        <w:rPr>
          <w:rFonts w:ascii="Bookman" w:hAnsi="Bookman"/>
        </w:rPr>
      </w:pPr>
    </w:p>
    <w:p w:rsidR="0080136E" w:rsidRPr="0004098D" w:rsidRDefault="0080136E" w:rsidP="0080136E">
      <w:pPr>
        <w:pStyle w:val="Heading4"/>
        <w:jc w:val="center"/>
        <w:rPr>
          <w:i w:val="0"/>
          <w:u w:val="single"/>
        </w:rPr>
      </w:pPr>
      <w:r w:rsidRPr="0004098D">
        <w:rPr>
          <w:i w:val="0"/>
          <w:u w:val="single"/>
        </w:rPr>
        <w:t>Linear or near linear speedup</w:t>
      </w:r>
    </w:p>
    <w:p w:rsidR="0080136E" w:rsidRDefault="0080136E" w:rsidP="0080136E">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80136E" w:rsidRPr="00316261" w:rsidRDefault="0080136E" w:rsidP="0080136E">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 (This is substantiated in Analysis 3 above.)</w:t>
      </w:r>
    </w:p>
    <w:p w:rsidR="0080136E" w:rsidRPr="00316261" w:rsidRDefault="0080136E" w:rsidP="0080136E">
      <w:pPr>
        <w:pStyle w:val="NoSpacing"/>
        <w:rPr>
          <w:rFonts w:ascii="Bookman" w:hAnsi="Bookman"/>
        </w:rPr>
      </w:pPr>
    </w:p>
    <w:p w:rsidR="00DB4A19" w:rsidRPr="003D002D" w:rsidRDefault="00DB4A19" w:rsidP="003D002D"/>
    <w:sectPr w:rsidR="00DB4A19" w:rsidRPr="003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534C"/>
    <w:multiLevelType w:val="hybridMultilevel"/>
    <w:tmpl w:val="8A6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003C7"/>
    <w:multiLevelType w:val="hybridMultilevel"/>
    <w:tmpl w:val="1C705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9725B9"/>
    <w:multiLevelType w:val="hybridMultilevel"/>
    <w:tmpl w:val="D96C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86863"/>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D387E"/>
    <w:multiLevelType w:val="hybridMultilevel"/>
    <w:tmpl w:val="4ABA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62660"/>
    <w:multiLevelType w:val="hybridMultilevel"/>
    <w:tmpl w:val="2C16A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85EAB"/>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33E4E"/>
    <w:multiLevelType w:val="hybridMultilevel"/>
    <w:tmpl w:val="2C16A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9D"/>
    <w:rsid w:val="00010111"/>
    <w:rsid w:val="000175CA"/>
    <w:rsid w:val="00027C42"/>
    <w:rsid w:val="0004055D"/>
    <w:rsid w:val="0004098D"/>
    <w:rsid w:val="00056FA3"/>
    <w:rsid w:val="0006147B"/>
    <w:rsid w:val="00081044"/>
    <w:rsid w:val="00094C0D"/>
    <w:rsid w:val="000A376A"/>
    <w:rsid w:val="000B09B2"/>
    <w:rsid w:val="000C4B13"/>
    <w:rsid w:val="000C5361"/>
    <w:rsid w:val="000D33D7"/>
    <w:rsid w:val="000F1628"/>
    <w:rsid w:val="0010431B"/>
    <w:rsid w:val="00110D50"/>
    <w:rsid w:val="00112BF3"/>
    <w:rsid w:val="00124617"/>
    <w:rsid w:val="00126E57"/>
    <w:rsid w:val="00131F9D"/>
    <w:rsid w:val="0014117F"/>
    <w:rsid w:val="001812AB"/>
    <w:rsid w:val="00186F7B"/>
    <w:rsid w:val="00193222"/>
    <w:rsid w:val="001A507D"/>
    <w:rsid w:val="001A5092"/>
    <w:rsid w:val="001B5D95"/>
    <w:rsid w:val="001C1C23"/>
    <w:rsid w:val="001E0E52"/>
    <w:rsid w:val="001E4F82"/>
    <w:rsid w:val="001F3026"/>
    <w:rsid w:val="001F50F6"/>
    <w:rsid w:val="0021353D"/>
    <w:rsid w:val="002273D0"/>
    <w:rsid w:val="00241327"/>
    <w:rsid w:val="002600FA"/>
    <w:rsid w:val="00261EDB"/>
    <w:rsid w:val="002661D1"/>
    <w:rsid w:val="00282459"/>
    <w:rsid w:val="002A2AEE"/>
    <w:rsid w:val="002B190B"/>
    <w:rsid w:val="002B79E3"/>
    <w:rsid w:val="002D1E48"/>
    <w:rsid w:val="002F07B2"/>
    <w:rsid w:val="002F2C8A"/>
    <w:rsid w:val="002F309D"/>
    <w:rsid w:val="002F7027"/>
    <w:rsid w:val="00306468"/>
    <w:rsid w:val="00312900"/>
    <w:rsid w:val="00316261"/>
    <w:rsid w:val="003164A7"/>
    <w:rsid w:val="003202AF"/>
    <w:rsid w:val="003239AF"/>
    <w:rsid w:val="003521E6"/>
    <w:rsid w:val="00363ADC"/>
    <w:rsid w:val="00371737"/>
    <w:rsid w:val="003B14FC"/>
    <w:rsid w:val="003B2046"/>
    <w:rsid w:val="003B5148"/>
    <w:rsid w:val="003C5954"/>
    <w:rsid w:val="003D002D"/>
    <w:rsid w:val="003D47E4"/>
    <w:rsid w:val="003E3DC4"/>
    <w:rsid w:val="003F4C0E"/>
    <w:rsid w:val="00420B08"/>
    <w:rsid w:val="004512D2"/>
    <w:rsid w:val="00455C95"/>
    <w:rsid w:val="00470D37"/>
    <w:rsid w:val="00481EC8"/>
    <w:rsid w:val="004A1C1A"/>
    <w:rsid w:val="004B6AF2"/>
    <w:rsid w:val="004C4135"/>
    <w:rsid w:val="004C7078"/>
    <w:rsid w:val="004D15D4"/>
    <w:rsid w:val="004E1720"/>
    <w:rsid w:val="004E55D2"/>
    <w:rsid w:val="005062B2"/>
    <w:rsid w:val="00506FA8"/>
    <w:rsid w:val="00515532"/>
    <w:rsid w:val="00516499"/>
    <w:rsid w:val="005173FB"/>
    <w:rsid w:val="00550D88"/>
    <w:rsid w:val="005520A1"/>
    <w:rsid w:val="0057070D"/>
    <w:rsid w:val="005736DB"/>
    <w:rsid w:val="00584C7B"/>
    <w:rsid w:val="0059094C"/>
    <w:rsid w:val="0059443E"/>
    <w:rsid w:val="005A7AB5"/>
    <w:rsid w:val="005B6471"/>
    <w:rsid w:val="005C6B66"/>
    <w:rsid w:val="00604042"/>
    <w:rsid w:val="00613572"/>
    <w:rsid w:val="00657339"/>
    <w:rsid w:val="0066125B"/>
    <w:rsid w:val="006679B2"/>
    <w:rsid w:val="00670DBC"/>
    <w:rsid w:val="00674B2A"/>
    <w:rsid w:val="006859E8"/>
    <w:rsid w:val="00694671"/>
    <w:rsid w:val="00696F9F"/>
    <w:rsid w:val="006A3E8F"/>
    <w:rsid w:val="006C79B5"/>
    <w:rsid w:val="006D1A0C"/>
    <w:rsid w:val="00700E74"/>
    <w:rsid w:val="007266BC"/>
    <w:rsid w:val="007325F8"/>
    <w:rsid w:val="007430A6"/>
    <w:rsid w:val="007476A3"/>
    <w:rsid w:val="00755266"/>
    <w:rsid w:val="00774799"/>
    <w:rsid w:val="00777BF9"/>
    <w:rsid w:val="00782F88"/>
    <w:rsid w:val="00792504"/>
    <w:rsid w:val="007A7A6A"/>
    <w:rsid w:val="007C2F8D"/>
    <w:rsid w:val="007E0CB7"/>
    <w:rsid w:val="007F0FFB"/>
    <w:rsid w:val="007F1315"/>
    <w:rsid w:val="0080136E"/>
    <w:rsid w:val="00802890"/>
    <w:rsid w:val="00810234"/>
    <w:rsid w:val="0081149D"/>
    <w:rsid w:val="008A52A7"/>
    <w:rsid w:val="008B5F85"/>
    <w:rsid w:val="008C0D21"/>
    <w:rsid w:val="008D40CE"/>
    <w:rsid w:val="008F2CC5"/>
    <w:rsid w:val="00905DBF"/>
    <w:rsid w:val="0090785D"/>
    <w:rsid w:val="0092156F"/>
    <w:rsid w:val="00944410"/>
    <w:rsid w:val="00946531"/>
    <w:rsid w:val="00950A7E"/>
    <w:rsid w:val="00955F8A"/>
    <w:rsid w:val="00956D01"/>
    <w:rsid w:val="00961707"/>
    <w:rsid w:val="009823A6"/>
    <w:rsid w:val="009B15A2"/>
    <w:rsid w:val="009B3142"/>
    <w:rsid w:val="009B3256"/>
    <w:rsid w:val="009C312F"/>
    <w:rsid w:val="009C4049"/>
    <w:rsid w:val="00A11029"/>
    <w:rsid w:val="00A239A6"/>
    <w:rsid w:val="00A3490C"/>
    <w:rsid w:val="00A513E7"/>
    <w:rsid w:val="00A5564E"/>
    <w:rsid w:val="00A62808"/>
    <w:rsid w:val="00A671DC"/>
    <w:rsid w:val="00A82784"/>
    <w:rsid w:val="00A94066"/>
    <w:rsid w:val="00A953A6"/>
    <w:rsid w:val="00AB223C"/>
    <w:rsid w:val="00AB39CE"/>
    <w:rsid w:val="00AD15E0"/>
    <w:rsid w:val="00AD26EF"/>
    <w:rsid w:val="00AF04F5"/>
    <w:rsid w:val="00AF18AE"/>
    <w:rsid w:val="00AF356A"/>
    <w:rsid w:val="00AF58D1"/>
    <w:rsid w:val="00B114F1"/>
    <w:rsid w:val="00B14327"/>
    <w:rsid w:val="00B23738"/>
    <w:rsid w:val="00B359CB"/>
    <w:rsid w:val="00B42148"/>
    <w:rsid w:val="00B4438C"/>
    <w:rsid w:val="00B60A22"/>
    <w:rsid w:val="00B76465"/>
    <w:rsid w:val="00BB0072"/>
    <w:rsid w:val="00BB099F"/>
    <w:rsid w:val="00BB3E3E"/>
    <w:rsid w:val="00BC6208"/>
    <w:rsid w:val="00C17500"/>
    <w:rsid w:val="00C81316"/>
    <w:rsid w:val="00C81AFD"/>
    <w:rsid w:val="00C96D08"/>
    <w:rsid w:val="00CB50F2"/>
    <w:rsid w:val="00CD2DD1"/>
    <w:rsid w:val="00CE3C0F"/>
    <w:rsid w:val="00CF186D"/>
    <w:rsid w:val="00CF3DE9"/>
    <w:rsid w:val="00D17028"/>
    <w:rsid w:val="00D35F72"/>
    <w:rsid w:val="00D36731"/>
    <w:rsid w:val="00D457E0"/>
    <w:rsid w:val="00D462F9"/>
    <w:rsid w:val="00D55602"/>
    <w:rsid w:val="00D556F1"/>
    <w:rsid w:val="00D646AD"/>
    <w:rsid w:val="00D64F7B"/>
    <w:rsid w:val="00D652B9"/>
    <w:rsid w:val="00D86C63"/>
    <w:rsid w:val="00D92CB1"/>
    <w:rsid w:val="00D954B4"/>
    <w:rsid w:val="00DA3500"/>
    <w:rsid w:val="00DA7447"/>
    <w:rsid w:val="00DB46D4"/>
    <w:rsid w:val="00DB4A19"/>
    <w:rsid w:val="00DB7AED"/>
    <w:rsid w:val="00DC5F42"/>
    <w:rsid w:val="00DE4E78"/>
    <w:rsid w:val="00DF119C"/>
    <w:rsid w:val="00DF172A"/>
    <w:rsid w:val="00DF3F62"/>
    <w:rsid w:val="00E143E7"/>
    <w:rsid w:val="00E23367"/>
    <w:rsid w:val="00E32183"/>
    <w:rsid w:val="00E470C4"/>
    <w:rsid w:val="00E50A15"/>
    <w:rsid w:val="00E51624"/>
    <w:rsid w:val="00E522D8"/>
    <w:rsid w:val="00E759E5"/>
    <w:rsid w:val="00E86CA4"/>
    <w:rsid w:val="00EA6BAC"/>
    <w:rsid w:val="00EB7ABD"/>
    <w:rsid w:val="00EC0B09"/>
    <w:rsid w:val="00EC193E"/>
    <w:rsid w:val="00ED5912"/>
    <w:rsid w:val="00F0621F"/>
    <w:rsid w:val="00F142EF"/>
    <w:rsid w:val="00F22313"/>
    <w:rsid w:val="00F22488"/>
    <w:rsid w:val="00F26F66"/>
    <w:rsid w:val="00F405DA"/>
    <w:rsid w:val="00F46A1E"/>
    <w:rsid w:val="00F47FED"/>
    <w:rsid w:val="00F51D7C"/>
    <w:rsid w:val="00F643B5"/>
    <w:rsid w:val="00F711A7"/>
    <w:rsid w:val="00F755B2"/>
    <w:rsid w:val="00FB2247"/>
    <w:rsid w:val="00FC77B0"/>
    <w:rsid w:val="00FD1F96"/>
    <w:rsid w:val="00FD51E0"/>
    <w:rsid w:val="00FE310E"/>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53D"/>
    <w:rPr>
      <w:rFonts w:ascii="Courier New" w:eastAsia="Times New Roman" w:hAnsi="Courier New" w:cs="Courier New"/>
      <w:sz w:val="20"/>
      <w:szCs w:val="20"/>
    </w:rPr>
  </w:style>
  <w:style w:type="character" w:customStyle="1" w:styleId="cm">
    <w:name w:val="cm"/>
    <w:basedOn w:val="DefaultParagraphFont"/>
    <w:rsid w:val="0021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53D"/>
    <w:rPr>
      <w:rFonts w:ascii="Courier New" w:eastAsia="Times New Roman" w:hAnsi="Courier New" w:cs="Courier New"/>
      <w:sz w:val="20"/>
      <w:szCs w:val="20"/>
    </w:rPr>
  </w:style>
  <w:style w:type="character" w:customStyle="1" w:styleId="cm">
    <w:name w:val="cm"/>
    <w:basedOn w:val="DefaultParagraphFont"/>
    <w:rsid w:val="0021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0883">
      <w:bodyDiv w:val="1"/>
      <w:marLeft w:val="0"/>
      <w:marRight w:val="0"/>
      <w:marTop w:val="0"/>
      <w:marBottom w:val="0"/>
      <w:divBdr>
        <w:top w:val="none" w:sz="0" w:space="0" w:color="auto"/>
        <w:left w:val="none" w:sz="0" w:space="0" w:color="auto"/>
        <w:bottom w:val="none" w:sz="0" w:space="0" w:color="auto"/>
        <w:right w:val="none" w:sz="0" w:space="0" w:color="auto"/>
      </w:divBdr>
    </w:div>
    <w:div w:id="1502617935">
      <w:bodyDiv w:val="1"/>
      <w:marLeft w:val="0"/>
      <w:marRight w:val="0"/>
      <w:marTop w:val="0"/>
      <w:marBottom w:val="0"/>
      <w:divBdr>
        <w:top w:val="none" w:sz="0" w:space="0" w:color="auto"/>
        <w:left w:val="none" w:sz="0" w:space="0" w:color="auto"/>
        <w:bottom w:val="none" w:sz="0" w:space="0" w:color="auto"/>
        <w:right w:val="none" w:sz="0" w:space="0" w:color="auto"/>
      </w:divBdr>
      <w:divsChild>
        <w:div w:id="1465927550">
          <w:marLeft w:val="0"/>
          <w:marRight w:val="0"/>
          <w:marTop w:val="0"/>
          <w:marBottom w:val="0"/>
          <w:divBdr>
            <w:top w:val="none" w:sz="0" w:space="0" w:color="auto"/>
            <w:left w:val="none" w:sz="0" w:space="0" w:color="auto"/>
            <w:bottom w:val="none" w:sz="0" w:space="0" w:color="auto"/>
            <w:right w:val="none" w:sz="0" w:space="0" w:color="auto"/>
          </w:divBdr>
        </w:div>
        <w:div w:id="959460248">
          <w:marLeft w:val="0"/>
          <w:marRight w:val="0"/>
          <w:marTop w:val="0"/>
          <w:marBottom w:val="0"/>
          <w:divBdr>
            <w:top w:val="none" w:sz="0" w:space="0" w:color="auto"/>
            <w:left w:val="none" w:sz="0" w:space="0" w:color="auto"/>
            <w:bottom w:val="none" w:sz="0" w:space="0" w:color="auto"/>
            <w:right w:val="none" w:sz="0" w:space="0" w:color="auto"/>
          </w:divBdr>
        </w:div>
        <w:div w:id="1388407408">
          <w:marLeft w:val="0"/>
          <w:marRight w:val="0"/>
          <w:marTop w:val="0"/>
          <w:marBottom w:val="0"/>
          <w:divBdr>
            <w:top w:val="none" w:sz="0" w:space="0" w:color="auto"/>
            <w:left w:val="none" w:sz="0" w:space="0" w:color="auto"/>
            <w:bottom w:val="none" w:sz="0" w:space="0" w:color="auto"/>
            <w:right w:val="none" w:sz="0" w:space="0" w:color="auto"/>
          </w:divBdr>
        </w:div>
        <w:div w:id="2101174629">
          <w:marLeft w:val="0"/>
          <w:marRight w:val="0"/>
          <w:marTop w:val="0"/>
          <w:marBottom w:val="0"/>
          <w:divBdr>
            <w:top w:val="none" w:sz="0" w:space="0" w:color="auto"/>
            <w:left w:val="none" w:sz="0" w:space="0" w:color="auto"/>
            <w:bottom w:val="none" w:sz="0" w:space="0" w:color="auto"/>
            <w:right w:val="none" w:sz="0" w:space="0" w:color="auto"/>
          </w:divBdr>
        </w:div>
        <w:div w:id="363749318">
          <w:marLeft w:val="0"/>
          <w:marRight w:val="0"/>
          <w:marTop w:val="0"/>
          <w:marBottom w:val="0"/>
          <w:divBdr>
            <w:top w:val="none" w:sz="0" w:space="0" w:color="auto"/>
            <w:left w:val="none" w:sz="0" w:space="0" w:color="auto"/>
            <w:bottom w:val="none" w:sz="0" w:space="0" w:color="auto"/>
            <w:right w:val="none" w:sz="0" w:space="0" w:color="auto"/>
          </w:divBdr>
        </w:div>
      </w:divsChild>
    </w:div>
    <w:div w:id="21039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3.2027E-2</c:v>
                </c:pt>
                <c:pt idx="1">
                  <c:v>1.0829999999999999E-2</c:v>
                </c:pt>
                <c:pt idx="2">
                  <c:v>2.1129999999999999E-2</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0.25887199999999999</c:v>
                </c:pt>
                <c:pt idx="1">
                  <c:v>0.121353</c:v>
                </c:pt>
                <c:pt idx="2">
                  <c:v>7.4789999999999995E-2</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2.2062249999999999</c:v>
                </c:pt>
                <c:pt idx="1">
                  <c:v>0.79601500000000003</c:v>
                </c:pt>
                <c:pt idx="2">
                  <c:v>0.49925700000000001</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23.916550999999998</c:v>
                </c:pt>
                <c:pt idx="1">
                  <c:v>9.0238449999999997</c:v>
                </c:pt>
                <c:pt idx="2">
                  <c:v>5.7726620000000004</c:v>
                </c:pt>
              </c:numCache>
            </c:numRef>
          </c:val>
          <c:smooth val="0"/>
        </c:ser>
        <c:dLbls>
          <c:showLegendKey val="0"/>
          <c:showVal val="0"/>
          <c:showCatName val="0"/>
          <c:showSerName val="0"/>
          <c:showPercent val="0"/>
          <c:showBubbleSize val="0"/>
        </c:dLbls>
        <c:dropLines>
          <c:spPr>
            <a:ln>
              <a:noFill/>
            </a:ln>
          </c:spPr>
        </c:dropLines>
        <c:marker val="1"/>
        <c:smooth val="0"/>
        <c:axId val="116527488"/>
        <c:axId val="116529408"/>
      </c:lineChart>
      <c:catAx>
        <c:axId val="11652748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16529408"/>
        <c:crosses val="autoZero"/>
        <c:auto val="1"/>
        <c:lblAlgn val="ctr"/>
        <c:lblOffset val="100"/>
        <c:noMultiLvlLbl val="0"/>
      </c:catAx>
      <c:valAx>
        <c:axId val="116529408"/>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1652748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1.828349</c:v>
                </c:pt>
                <c:pt idx="1">
                  <c:v>5.4070169999999997</c:v>
                </c:pt>
                <c:pt idx="2">
                  <c:v>2.7712940000000001</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1.573996</c:v>
                </c:pt>
                <c:pt idx="1">
                  <c:v>3.357675</c:v>
                </c:pt>
                <c:pt idx="2">
                  <c:v>5.4480497000000003</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1.759161</c:v>
                </c:pt>
                <c:pt idx="1">
                  <c:v>4.8756640000000004</c:v>
                </c:pt>
                <c:pt idx="2">
                  <c:v>7.7737509999999999</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1.864886</c:v>
                </c:pt>
                <c:pt idx="1">
                  <c:v>4.9426430000000003</c:v>
                </c:pt>
                <c:pt idx="2">
                  <c:v>7.7263570000000001</c:v>
                </c:pt>
              </c:numCache>
            </c:numRef>
          </c:val>
          <c:smooth val="0"/>
        </c:ser>
        <c:dLbls>
          <c:showLegendKey val="0"/>
          <c:showVal val="0"/>
          <c:showCatName val="0"/>
          <c:showSerName val="0"/>
          <c:showPercent val="0"/>
          <c:showBubbleSize val="0"/>
        </c:dLbls>
        <c:dropLines>
          <c:spPr>
            <a:ln>
              <a:noFill/>
            </a:ln>
          </c:spPr>
        </c:dropLines>
        <c:marker val="1"/>
        <c:smooth val="0"/>
        <c:axId val="134808704"/>
        <c:axId val="134810624"/>
      </c:lineChart>
      <c:catAx>
        <c:axId val="134808704"/>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34810624"/>
        <c:crosses val="autoZero"/>
        <c:auto val="1"/>
        <c:lblAlgn val="ctr"/>
        <c:lblOffset val="100"/>
        <c:noMultiLvlLbl val="0"/>
      </c:catAx>
      <c:valAx>
        <c:axId val="134810624"/>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34808704"/>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3.4180000000000002E-2</c:v>
                </c:pt>
                <c:pt idx="1">
                  <c:v>1.3762999999999999E-2</c:v>
                </c:pt>
                <c:pt idx="2">
                  <c:v>3.4937999999999997E-2</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0.28337800000000002</c:v>
                </c:pt>
                <c:pt idx="1">
                  <c:v>0.12759899999999999</c:v>
                </c:pt>
                <c:pt idx="2">
                  <c:v>7.8755000000000006E-2</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2.2802470000000001</c:v>
                </c:pt>
                <c:pt idx="1">
                  <c:v>0.873</c:v>
                </c:pt>
                <c:pt idx="2">
                  <c:v>0.58606119999999995</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25.159230000000001</c:v>
                </c:pt>
                <c:pt idx="1">
                  <c:v>9.6243839999999992</c:v>
                </c:pt>
                <c:pt idx="2">
                  <c:v>6.5371759999999997</c:v>
                </c:pt>
              </c:numCache>
            </c:numRef>
          </c:val>
          <c:smooth val="0"/>
        </c:ser>
        <c:dLbls>
          <c:showLegendKey val="0"/>
          <c:showVal val="0"/>
          <c:showCatName val="0"/>
          <c:showSerName val="0"/>
          <c:showPercent val="0"/>
          <c:showBubbleSize val="0"/>
        </c:dLbls>
        <c:dropLines>
          <c:spPr>
            <a:ln>
              <a:noFill/>
            </a:ln>
          </c:spPr>
        </c:dropLines>
        <c:marker val="1"/>
        <c:smooth val="0"/>
        <c:axId val="134612864"/>
        <c:axId val="134668288"/>
      </c:lineChart>
      <c:catAx>
        <c:axId val="134612864"/>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34668288"/>
        <c:crosses val="autoZero"/>
        <c:auto val="1"/>
        <c:lblAlgn val="ctr"/>
        <c:lblOffset val="100"/>
        <c:noMultiLvlLbl val="0"/>
      </c:catAx>
      <c:valAx>
        <c:axId val="134668288"/>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34612864"/>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1.7747200000000001</c:v>
                </c:pt>
                <c:pt idx="1">
                  <c:v>4.407349</c:v>
                </c:pt>
                <c:pt idx="2">
                  <c:v>1.7362070000000001</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1.5873120000000001</c:v>
                </c:pt>
                <c:pt idx="1">
                  <c:v>3.5251730000000001</c:v>
                </c:pt>
                <c:pt idx="2">
                  <c:v>5.711481</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1.7570509999999999</c:v>
                </c:pt>
                <c:pt idx="1">
                  <c:v>4.5893600000000001</c:v>
                </c:pt>
                <c:pt idx="2">
                  <c:v>6.8363370000000003</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1.81097</c:v>
                </c:pt>
                <c:pt idx="1">
                  <c:v>4.7340819999999999</c:v>
                </c:pt>
                <c:pt idx="2">
                  <c:v>6.9697719999999999</c:v>
                </c:pt>
              </c:numCache>
            </c:numRef>
          </c:val>
          <c:smooth val="0"/>
        </c:ser>
        <c:dLbls>
          <c:showLegendKey val="0"/>
          <c:showVal val="0"/>
          <c:showCatName val="0"/>
          <c:showSerName val="0"/>
          <c:showPercent val="0"/>
          <c:showBubbleSize val="0"/>
        </c:dLbls>
        <c:dropLines>
          <c:spPr>
            <a:ln>
              <a:noFill/>
            </a:ln>
          </c:spPr>
        </c:dropLines>
        <c:marker val="1"/>
        <c:smooth val="0"/>
        <c:axId val="134912640"/>
        <c:axId val="134914816"/>
      </c:lineChart>
      <c:catAx>
        <c:axId val="134912640"/>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34914816"/>
        <c:crosses val="autoZero"/>
        <c:auto val="1"/>
        <c:lblAlgn val="ctr"/>
        <c:lblOffset val="100"/>
        <c:noMultiLvlLbl val="0"/>
      </c:catAx>
      <c:valAx>
        <c:axId val="134914816"/>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34912640"/>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Dasgupta</dc:creator>
  <cp:lastModifiedBy>Sandeep Dasgupta</cp:lastModifiedBy>
  <cp:revision>233</cp:revision>
  <cp:lastPrinted>2013-11-04T23:48:00Z</cp:lastPrinted>
  <dcterms:created xsi:type="dcterms:W3CDTF">2013-10-18T19:54:00Z</dcterms:created>
  <dcterms:modified xsi:type="dcterms:W3CDTF">2013-11-04T23:49:00Z</dcterms:modified>
</cp:coreProperties>
</file>