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Keep in Touch App System Specification</w:t>
      </w:r>
    </w:p>
    <w:p>
      <w:r>
        <w:t>This document instantiates our System framework for an app that helps people maintain the relationships they choose. It combines a general product description with a nested ontology and scoped specification in the Genome layer, program theory, Cloudflare realization contract and verifiable criteria for the System, its one Thing and that Thing's internal parts. The companion Cloudflare Social Networking System Template supplies the reusable form. These are proposed semantic models; no app, passing Evaluation or deployed revision is claimed.</w:t>
      </w:r>
    </w:p>
    <w:p>
      <w:pPr>
        <w:pStyle w:val="Heading1"/>
      </w:pPr>
      <w:r>
        <w:t>1 System identity and Purpose</w:t>
      </w:r>
    </w:p>
    <w:p>
      <w:r>
        <w:rPr>
          <w:b/>
        </w:rPr>
        <w:t>System ID:</w:t>
      </w:r>
      <w:r>
        <w:t xml:space="preserve"> system.keep-in-touch. </w:t>
      </w:r>
      <w:r>
        <w:rPr>
          <w:b/>
        </w:rPr>
        <w:t>Template:</w:t>
      </w:r>
      <w:r>
        <w:t xml:space="preserve"> template.social-networking.cloudflare, specialized by profile.private-relationships. </w:t>
      </w:r>
      <w:r>
        <w:rPr>
          <w:b/>
        </w:rPr>
        <w:t>Thing:</w:t>
      </w:r>
      <w:r>
        <w:t xml:space="preserve"> thing.webapp, the app definition within the System Genome, using a compatible Thing Template or an explicit scratch specification. The selected System Template supplies the reusable ontology definition; this instance has a System ontology and the app Thing has its own nested ontology. Genome, Proteome and Phenome are layers over the same subjects. </w:t>
      </w:r>
      <w:r>
        <w:rPr>
          <w:b/>
        </w:rPr>
        <w:t>Base Artifact:</w:t>
      </w:r>
      <w:r>
        <w:t xml:space="preserve"> artifact.webapp, one full-stack Worker application containing UI, API, scheduler code, configuration and migrations; each candidate Artifact version realizes thing.webapp. Protected System model, Template, Rule Packs and Assays live in artifact.model-kit, a realization of referenced platform governance Things rather than a second app Thing. Runtime personal data is separate from these source repositories.</w:t>
      </w:r>
    </w:p>
    <w:p>
      <w:r>
        <w:rPr>
          <w:b/>
        </w:rPr>
        <w:t>Purpose P1:</w:t>
      </w:r>
      <w:r>
        <w:t xml:space="preserve"> help an individual keep in touch with selected people at a personally meaningful frequency and depth, while respecting both people's autonomy. Success means more wanted contact and less effort remembering or initiating it. Time spent in the app, message volume and notification opens are diagnostic measures, not the purpose.</w:t>
      </w:r>
    </w:p>
    <w:p>
      <w:r>
        <w:t>The app can help before any friend installs it. A user may keep a private contact record, set a goal and log a phone call or meeting. Connecting two accounts adds consensual sharing capabilities; it does not turn private relationship notes or goals into shared data.</w:t>
      </w:r>
    </w:p>
    <w:p>
      <w:pPr>
        <w:pStyle w:val="Heading1"/>
      </w:pPr>
      <w:r>
        <w:t>2 Externals and boundary</w:t>
      </w:r>
    </w:p>
    <w:tbl>
      <w:tblPr>
        <w:tblW w:type="auto" w:w="0"/>
        <w:jc w:val="center"/>
        <w:tblLayout w:type="fixed"/>
        <w:tblLook w:firstColumn="1" w:firstRow="1" w:lastColumn="0" w:lastRow="0" w:noHBand="0" w:noVBand="1" w:val="04A0"/>
      </w:tblPr>
      <w:tblGrid>
        <w:gridCol w:w="2736"/>
        <w:gridCol w:w="7344"/>
      </w:tblGrid>
      <w:tr>
        <w:trPr>
          <w:cantSplit/>
          <w:tblHeader/>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7EBEF"/>
          </w:tcPr>
          <w:p>
            <w:pPr>
              <w:spacing w:before="60" w:after="60" w:line="247" w:lineRule="auto"/>
            </w:pPr>
            <w:r>
              <w:rPr>
                <w:b/>
                <w:sz w:val="21"/>
              </w:rPr>
              <w:t>External object</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7EBEF"/>
          </w:tcPr>
          <w:p>
            <w:pPr>
              <w:spacing w:before="60" w:after="60" w:line="247" w:lineRule="auto"/>
            </w:pPr>
            <w:r>
              <w:rPr>
                <w:b/>
                <w:sz w:val="21"/>
              </w:rPr>
              <w:t>What we model and what remains external</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ext.owner</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The person using the app, their time zone, available attention, goals and accessibility needs</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ext.contacts</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Friends, family and other selected people; some have app accounts and some do not</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ext.relationship-context</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Distance, changing routines, communication preferences and welcome or unwelcome contact; record uncertainty</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ext.channels</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Calls, meetings, SMS, email and other messaging apps; the app cannot infer their delivery or meaning merely by opening them</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ext.device</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Browser, device notification permissions and selected files; access to a phone gallery is a later capability</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ext.providers</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Identity, notification and optional model providers, including their limits and failures</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ext.events</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Changes in routines, travel, milestones and service outages relevant to contact; record source, time and uncertainty, without assuming access to private calendars</w:t>
            </w:r>
          </w:p>
        </w:tc>
      </w:tr>
    </w:tbl>
    <w:p>
      <w:pPr>
        <w:spacing w:before="160"/>
      </w:pPr>
      <w:r>
        <w:t>Externals names the surrounding people, context, devices and services represented by the framework component formerly called Environment. The ext namespace distinguishes these objects from software deployment environments such as preview and production.</w:t>
      </w:r>
    </w:p>
    <w:p>
      <w:r>
        <w:t>We control records, invitations, preferences, prompts and app-mediated access. People control whether to respond and what a relationship means. External messages and downloaded copies cannot be recalled by reversing a source revision. Contact importing, notifications and AI processing require explicit choices; private contact creation requires neither public discovery nor an address-book upload.</w:t>
      </w:r>
    </w:p>
    <w:p>
      <w:pPr>
        <w:pStyle w:val="Heading1"/>
      </w:pPr>
      <w:r>
        <w:t>3 General Description</w:t>
      </w:r>
    </w:p>
    <w:p>
      <w:r>
        <w:t>The main experience is a purposeful contacts app. People are the organizing unit. Each relationship has an owner-only intention such as “check in every two weeks” or “make room for a proper conversation monthly.” A calm Today view suggests a finite set of next actions. A user can act, log contact, snooze, pause or revise the goal. There are no streak penalties or public relationship scores.</w:t>
      </w:r>
    </w:p>
    <w:p>
      <w:r>
        <w:t>Feature IDs for refinement are GD.contacts for private contacts, GD.goals for cadence and depth, GD.connect for consented pair connections, GD.prompts for suggested next actions and GD.updates for later digests and photo suggestions.</w:t>
      </w:r>
    </w:p>
    <w:p>
      <w:pPr>
        <w:pStyle w:val="Heading2"/>
      </w:pPr>
      <w:r>
        <w:t>Distinctive commitments and separate journey views</w:t>
      </w:r>
    </w:p>
    <w:p>
      <w:r>
        <w:t>Preserve this System as a purposeful, private contacts system through refinement. Its coupled commitments are one-to-one actions, a finite incoming view, owner-defined cadence and depth, and personal control over initiating contact. Keep these linked to GD.contacts, GD.goals, GD.connect and GD.prompts. No streak penalties, public relationship scores or group discussion belong in the core contract. These choices express the intended experience; they need not be replaced by conventional engagement features to make the model complete. The proposed digest and gallery ideas remain part of the description even while their realization is deferred.</w:t>
      </w:r>
    </w:p>
    <w:p>
      <w:r>
        <w:t>The structure view must show thing.webapp, its owned domain parts and Externals, grouping private planning separately from consented sharing. Show labeled interactions between people, records, invitations, goals, suggestions and channels, with trigger, timing and surface in the inspector. These groupings do not introduce additional product Things. The following journey catalog defines separate temporal projections of the shared model, normally rendered left to right with branches, waits and failure paths.</w:t>
      </w:r>
    </w:p>
    <w:tbl>
      <w:tblPr>
        <w:tblW w:type="auto" w:w="0"/>
        <w:jc w:val="center"/>
        <w:tblLayout w:type="fixed"/>
        <w:tblLook w:firstColumn="1" w:firstRow="1" w:lastColumn="0" w:lastRow="0" w:noHBand="0" w:noVBand="1" w:val="04A0"/>
      </w:tblPr>
      <w:tblGrid>
        <w:gridCol w:w="2736"/>
        <w:gridCol w:w="7344"/>
      </w:tblGrid>
      <w:tr>
        <w:trPr>
          <w:cantSplit/>
          <w:tblHeader/>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7EBEF"/>
          </w:tcPr>
          <w:p>
            <w:pPr>
              <w:spacing w:before="60" w:after="60" w:line="247" w:lineRule="auto"/>
            </w:pPr>
            <w:r>
              <w:rPr>
                <w:b/>
                <w:sz w:val="21"/>
              </w:rPr>
              <w:t>Journey</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7EBEF"/>
          </w:tcPr>
          <w:p>
            <w:pPr>
              <w:spacing w:before="60" w:after="60" w:line="247" w:lineRule="auto"/>
            </w:pPr>
            <w:r>
              <w:rPr>
                <w:b/>
                <w:sz w:val="21"/>
              </w:rPr>
              <w:t>Scope and specification links</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J.contacts</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Add or edit a private contact through People; save, cancel and validation failure. GD.contacts; S.webapp.screens and S.webapp.operations</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J.goals</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Choose cadence and depth, review SchedulePreview, then save or cancel. GD.goals; S.webapp.qualification and S.webapp.due</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J.connect</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Create and share an invite; recipient signs in and accepts or declines; expired, used, blocked and concurrent cases. GD.connect; S.webapp.authentication and S.webapp.concurrency</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J.contact</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Select one person, open a channel, then optionally log actual contact and explicitly qualify it; channel opening alone completes no goal. GD.prompts; S.webapp.scope and S.webapp.qualification</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J.prompts</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Inspect Today, act, snooze, pause or revise a goal; show resulting due state and cancelled jobs. GD.prompts; S.webapp.prompts and S.webapp.due</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J.control</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Separate disconnect, block, export and deletion scenarios with authority, confirmations and resulting access changes. GD.connect and GD.contacts; S.webapp.operations and S.webapp.concurrency</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J.updates later</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Separate digest publication, subscription, reading, private reply and photo-approval journeys; provisional until accepted scope and topology. GD.updates; later requirements must be defined before readiness</w:t>
            </w:r>
          </w:p>
        </w:tc>
      </w:tr>
    </w:tbl>
    <w:p>
      <w:pPr>
        <w:spacing w:before="160"/>
      </w:pPr>
      <w:r>
        <w:t>Each named scenario within a catalog entry must have its own view rather than one combined chart. Journey steps reference the same Account, ContactRecord, action, screen and state identities as the structure and specification views. Display unknowns and original source links; keep layout separate from facts. A later combined view can help inspect consent and scheduling interactions, while the individual journeys remain available. Changes to the core commitments require an explicit model delta and review of affected System and Thing criteria.</w:t>
      </w:r>
    </w:p>
    <w:p>
      <w:pPr>
        <w:pStyle w:val="Heading2"/>
      </w:pPr>
      <w:r>
        <w:t>Connection and relationship flow</w:t>
      </w:r>
    </w:p>
    <w:p>
      <w:pPr>
        <w:ind w:left="288" w:hanging="288"/>
      </w:pPr>
      <w:r>
        <w:t>1. Add a private contact manually. Optionally record a channel and context.</w:t>
      </w:r>
    </w:p>
    <w:p>
      <w:pPr>
        <w:ind w:left="288" w:hanging="288"/>
      </w:pPr>
      <w:r>
        <w:t>2. Set a private cadence and desired depth. The other person does not receive a demand or see this goal.</w:t>
      </w:r>
    </w:p>
    <w:p>
      <w:pPr>
        <w:ind w:left="288" w:hanging="288"/>
      </w:pPr>
      <w:r>
        <w:t>3. Connect accounts by presenting an invitation QR or sharing a connection code. “Password” means this invitation credential, never an account login password.</w:t>
      </w:r>
    </w:p>
    <w:p>
      <w:pPr>
        <w:ind w:left="288" w:hanging="288"/>
      </w:pPr>
      <w:r>
        <w:t>4. The recipient signs in, sees who is inviting them and explicitly accepts. Creating the invitation and accepting it provide the two consents. An active pair is created once; both parties can disconnect or block.</w:t>
      </w:r>
    </w:p>
    <w:p>
      <w:pPr>
        <w:ind w:left="288" w:hanging="288"/>
      </w:pPr>
      <w:r>
        <w:t>5. Choose one person, open their preferred channel or prepare a draft, then confirm the action. Opening a channel does not automatically mark contact as completed.</w:t>
      </w:r>
    </w:p>
    <w:p>
      <w:pPr>
        <w:ind w:left="288" w:hanging="288"/>
      </w:pPr>
      <w:r>
        <w:t>6. Log what happened and whether it satisfied the selected goal. The schedule adjusts from the recorded qualifying contact, not from app activity.</w:t>
      </w:r>
    </w:p>
    <w:p>
      <w:pPr>
        <w:pStyle w:val="Heading2"/>
      </w:pPr>
      <w:r>
        <w:t>Communication topology</w:t>
      </w:r>
    </w:p>
    <w:tbl>
      <w:tblPr>
        <w:tblW w:type="auto" w:w="0"/>
        <w:jc w:val="center"/>
        <w:tblLayout w:type="fixed"/>
        <w:tblLook w:firstColumn="1" w:firstRow="1" w:lastColumn="0" w:lastRow="0" w:noHBand="0" w:noVBand="1" w:val="04A0"/>
      </w:tblPr>
      <w:tblGrid>
        <w:gridCol w:w="2736"/>
        <w:gridCol w:w="7344"/>
      </w:tblGrid>
      <w:tr>
        <w:trPr>
          <w:cantSplit/>
          <w:tblHeader/>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7EBEF"/>
          </w:tcPr>
          <w:p>
            <w:pPr>
              <w:spacing w:before="60" w:after="60" w:line="247" w:lineRule="auto"/>
            </w:pPr>
            <w:r>
              <w:rPr>
                <w:b/>
                <w:sz w:val="21"/>
              </w:rPr>
              <w:t>Operation</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7EBEF"/>
          </w:tcPr>
          <w:p>
            <w:pPr>
              <w:spacing w:before="60" w:after="60" w:line="247" w:lineRule="auto"/>
            </w:pPr>
            <w:r>
              <w:rPr>
                <w:b/>
                <w:sz w:val="21"/>
              </w:rPr>
              <w:t>Cardinality and behaviour</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Relationship</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Exactly two distinct accounts in a connected pair; a user may have many independent pairs</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Outgoing direct action</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Exactly one recipient per draft, send request or private reply; no recipient list, bulk send or group thread</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Incoming view</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Many independent senders or subscribed authors can appear in one owner's finite inbox</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Digest subscription later</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One directed subscriber-to-author permission; subscription does not imply reciprocal subscription</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Groups later</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An optional new profile requiring a separate model and accepted Evolution; disabled in this System</w:t>
            </w:r>
          </w:p>
        </w:tc>
      </w:tr>
    </w:tbl>
    <w:p>
      <w:pPr>
        <w:spacing w:before="160"/>
      </w:pPr>
      <w:r>
        <w:t>The proposed digest interpretation is reader-driven publication: an author publishes an owned edition and approved subscribers independently read it. Replies remain one-to-one and readers cannot see or address one another. This still distributes one author's information to many people. If “no one-to-many outgoing” prohibits all such visibility, shared digests conflict with it; retain only individually addressed updates. Digest realization stays blocked until that interpretation is accepted.</w:t>
      </w:r>
    </w:p>
    <w:p>
      <w:pPr>
        <w:pStyle w:val="Heading2"/>
      </w:pPr>
      <w:r>
        <w:t>Later capabilities</w:t>
      </w:r>
    </w:p>
    <w:p>
      <w:r>
        <w:rPr>
          <w:b/>
        </w:rPr>
        <w:t>Personal digests:</w:t>
      </w:r>
      <w:r>
        <w:t xml:space="preserve"> manually assemble a periodic update, approve its audience and allow connected people to request subscriptions. The author can approve or revoke each subscription. Editions have immutable publication timestamps and access rules; subscribing later grants future editions by default. No public subscriber counts, likes, comment threads, recommendations or reposting surfaces. A private reply opens one conversation with the author.</w:t>
      </w:r>
    </w:p>
    <w:p>
      <w:r>
        <w:rPr>
          <w:b/>
        </w:rPr>
        <w:t>Photo suggestions:</w:t>
      </w:r>
      <w:r>
        <w:t xml:space="preserve"> with permission, inspect only user-selected material or a separately enabled device integration. Propose a photo and a named recipient with a reason such as a shared event or a recent conversation. The user approves the file, caption and recipient before any upload or send. Prefer local processing where feasible. Do not infer sensitive personal traits, upload a gallery wholesale or send automatically. A web file picker can support manual selection; continuous gallery indexing needs an explicit browser or native capability adapter.</w:t>
      </w:r>
    </w:p>
    <w:p>
      <w:r>
        <w:rPr>
          <w:b/>
        </w:rPr>
        <w:t>Shared intentions:</w:t>
      </w:r>
      <w:r>
        <w:t xml:space="preserve"> two people may later agree on a joint contact rhythm. This creates a new consented object rather than exposing either person's private goal. Any group feature likewise needs its own Purpose, membership and topology contract; it does not silently expand the pair model.</w:t>
      </w:r>
    </w:p>
    <w:p>
      <w:pPr>
        <w:pStyle w:val="Heading1"/>
      </w:pPr>
      <w:r>
        <w:t>4 Theory and outcome Evaluation</w:t>
      </w:r>
    </w:p>
    <w:p>
      <w:r>
        <w:t>The program theory is a set of hypotheses about ext.owner and ext.contacts. It does not assume that more frequent contact always improves a relationship.</w:t>
      </w:r>
    </w:p>
    <w:tbl>
      <w:tblPr>
        <w:tblW w:type="auto" w:w="0"/>
        <w:jc w:val="center"/>
        <w:tblLayout w:type="fixed"/>
        <w:tblLook w:firstColumn="1" w:firstRow="1" w:lastColumn="0" w:lastRow="0" w:noHBand="0" w:noVBand="1" w:val="04A0"/>
      </w:tblPr>
      <w:tblGrid>
        <w:gridCol w:w="2088"/>
        <w:gridCol w:w="3960"/>
        <w:gridCol w:w="4032"/>
      </w:tblGrid>
      <w:tr>
        <w:trPr>
          <w:cantSplit/>
          <w:tblHeader/>
        </w:trPr>
        <w:tc>
          <w:tcPr>
            <w:tcW w:type="dxa" w:w="208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7EBEF"/>
          </w:tcPr>
          <w:p>
            <w:pPr>
              <w:spacing w:before="60" w:after="60" w:line="247" w:lineRule="auto"/>
            </w:pPr>
            <w:r>
              <w:rPr>
                <w:b/>
                <w:sz w:val="21"/>
              </w:rPr>
              <w:t>Claim</w:t>
            </w:r>
          </w:p>
        </w:tc>
        <w:tc>
          <w:tcPr>
            <w:tcW w:type="dxa" w:w="396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7EBEF"/>
          </w:tcPr>
          <w:p>
            <w:pPr>
              <w:spacing w:before="60" w:after="60" w:line="247" w:lineRule="auto"/>
            </w:pPr>
            <w:r>
              <w:rPr>
                <w:b/>
                <w:sz w:val="21"/>
              </w:rPr>
              <w:t>Mechanism and desired outcome</w:t>
            </w:r>
          </w:p>
        </w:tc>
        <w:tc>
          <w:tcPr>
            <w:tcW w:type="dxa" w:w="403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7EBEF"/>
          </w:tcPr>
          <w:p>
            <w:pPr>
              <w:spacing w:before="60" w:after="60" w:line="247" w:lineRule="auto"/>
            </w:pPr>
            <w:r>
              <w:rPr>
                <w:b/>
                <w:sz w:val="21"/>
              </w:rPr>
              <w:t>Measurement and limitation</w:t>
            </w:r>
          </w:p>
        </w:tc>
      </w:tr>
      <w:tr>
        <w:trPr>
          <w:cantSplit/>
        </w:trPr>
        <w:tc>
          <w:tcPr>
            <w:tcW w:type="dxa" w:w="208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T1 Remembering</w:t>
            </w:r>
          </w:p>
        </w:tc>
        <w:tc>
          <w:tcPr>
            <w:tcW w:type="dxa" w:w="396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Private context and a chosen cadence reduce forgetting; wanted contact happens more reliably</w:t>
            </w:r>
          </w:p>
        </w:tc>
        <w:tc>
          <w:tcPr>
            <w:tcW w:type="dxa" w:w="403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Weekly proportion of active goals satisfied by qualifying contact; denominator excludes paused goals</w:t>
            </w:r>
          </w:p>
        </w:tc>
      </w:tr>
      <w:tr>
        <w:trPr>
          <w:cantSplit/>
        </w:trPr>
        <w:tc>
          <w:tcPr>
            <w:tcW w:type="dxa" w:w="208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T2 Initiating</w:t>
            </w:r>
          </w:p>
        </w:tc>
        <w:tc>
          <w:tcPr>
            <w:tcW w:type="dxa" w:w="396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One concrete next action lowers initiation effort</w:t>
            </w:r>
          </w:p>
        </w:tc>
        <w:tc>
          <w:tcPr>
            <w:tcW w:type="dxa" w:w="403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User-rated effort before and after use; a channel opened is not proof that contact occurred</w:t>
            </w:r>
          </w:p>
        </w:tc>
      </w:tr>
      <w:tr>
        <w:trPr>
          <w:cantSplit/>
        </w:trPr>
        <w:tc>
          <w:tcPr>
            <w:tcW w:type="dxa" w:w="208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T3 Meaning</w:t>
            </w:r>
          </w:p>
        </w:tc>
        <w:tc>
          <w:tcPr>
            <w:tcW w:type="dxa" w:w="396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User-defined depth prompts help contact feel worthwhile</w:t>
            </w:r>
          </w:p>
        </w:tc>
        <w:tc>
          <w:tcPr>
            <w:tcW w:type="dxa" w:w="403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Optional short reflection on meaningfulness; avoid treating a model's rating as relationship truth</w:t>
            </w:r>
          </w:p>
        </w:tc>
      </w:tr>
      <w:tr>
        <w:trPr>
          <w:cantSplit/>
        </w:trPr>
        <w:tc>
          <w:tcPr>
            <w:tcW w:type="dxa" w:w="208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T4 Autonomy</w:t>
            </w:r>
          </w:p>
        </w:tc>
        <w:tc>
          <w:tcPr>
            <w:tcW w:type="dxa" w:w="396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Adjustable cadence, pauses and recipient consent reduce unwanted pressure</w:t>
            </w:r>
          </w:p>
        </w:tc>
        <w:tc>
          <w:tcPr>
            <w:tcW w:type="dxa" w:w="403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Notification burden, snoozes, opt-outs and private burden reports; blocking is not a product failure</w:t>
            </w:r>
          </w:p>
        </w:tc>
      </w:tr>
      <w:tr>
        <w:trPr>
          <w:cantSplit/>
        </w:trPr>
        <w:tc>
          <w:tcPr>
            <w:tcW w:type="dxa" w:w="208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T5 Updates later</w:t>
            </w:r>
          </w:p>
        </w:tc>
        <w:tc>
          <w:tcPr>
            <w:tcW w:type="dxa" w:w="396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Consented digest reading provides context for a personal follow-up</w:t>
            </w:r>
          </w:p>
        </w:tc>
        <w:tc>
          <w:tcPr>
            <w:tcW w:type="dxa" w:w="403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Reader usefulness and subsequent voluntary contact; passive reading never counts as personal contact by default</w:t>
            </w:r>
          </w:p>
        </w:tc>
      </w:tr>
    </w:tbl>
    <w:p>
      <w:pPr>
        <w:spacing w:before="160"/>
      </w:pPr>
      <w:r>
        <w:t>Record a two-week personal baseline where the user chooses, then a four-week pilot. Compare descriptive trends and interview participants; missing baseline remains unknown. A before-and-after improvement cannot establish causality. A later randomized or staggered comparison can test T1–T3 with consent and a defined outcome protocol. Pilot targets are hypotheses: more goals met without increased reported burden. Do not set an invented numerical effect target.</w:t>
      </w:r>
    </w:p>
    <w:p>
      <w:r>
        <w:t>Outputs include saved goals, suggestions and completed logs. Outcomes concern wanted contact, effort and meaning. Collect the minimum optional measurement needed; do not copy private notes, message bodies or photos into analytics. Each Evaluation records method, population, time window, limitations and supporting or challenging observations.</w:t>
      </w:r>
    </w:p>
    <w:p>
      <w:pPr>
        <w:pStyle w:val="Heading1"/>
      </w:pPr>
      <w:r>
        <w:t>5 Domain ontology</w:t>
      </w:r>
    </w:p>
    <w:tbl>
      <w:tblPr>
        <w:tblW w:type="auto" w:w="0"/>
        <w:jc w:val="center"/>
        <w:tblLayout w:type="fixed"/>
        <w:tblLook w:firstColumn="1" w:firstRow="1" w:lastColumn="0" w:lastRow="0" w:noHBand="0" w:noVBand="1" w:val="04A0"/>
      </w:tblPr>
      <w:tblGrid>
        <w:gridCol w:w="2736"/>
        <w:gridCol w:w="7344"/>
      </w:tblGrid>
      <w:tr>
        <w:trPr>
          <w:cantSplit/>
          <w:tblHeader/>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7EBEF"/>
          </w:tcPr>
          <w:p>
            <w:pPr>
              <w:spacing w:before="60" w:after="60" w:line="247" w:lineRule="auto"/>
            </w:pPr>
            <w:r>
              <w:rPr>
                <w:b/>
                <w:sz w:val="21"/>
              </w:rPr>
              <w:t>Type</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7EBEF"/>
          </w:tcPr>
          <w:p>
            <w:pPr>
              <w:spacing w:before="60" w:after="60" w:line="247" w:lineRule="auto"/>
            </w:pPr>
            <w:r>
              <w:rPr>
                <w:b/>
                <w:sz w:val="21"/>
              </w:rPr>
              <w:t>Essential fields and relationships</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Account</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ID, identity-provider subject, display name, time zone and notification preferences; one authenticated owner</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ContactRecord</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ID, ownerAccountId, display name, optional channels and linkedAccountId; belongs to one owner</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ConnectionInvite</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ID, inviter, token hash, expiry and state; optional recipient binding; never contains login credentials</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Connection</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ID, two distinct account IDs in canonical order, acceptance provenance and state; at most one active pair</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Block</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Blocker and blocked account IDs; overrides connection, sharing and subscription permissions</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RelationshipGoal</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ID, owner, ContactRecord, intervalDays, desiredDepth, channel, anchorDate, pause and snooze; owner-only</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ContactEvent</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ID, owner, ContactRecord, time, channel, self-reported depth and optional private note; one contact target</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Suggestion</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ID, goal version, reason, due date, target ContactRecord and state; does not itself contact anybody</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NotificationJob</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ID, owner, suggestion and preference version, scheduled time, delivery state and deduplication key</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MessageDraft later</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ID, author, exactly one recipient, body, approved attachments and state; no autonomous send</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DigestEdition later</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ID, author, content version, publication time and access policy; no shared discussion thread</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Subscription later</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Subscriber, author, approval, start time and state; directed and independently revocable</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MediaAsset later</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ID, owner, private object key, permission provenance, retention and per-resource access grants</w:t>
            </w:r>
          </w:p>
        </w:tc>
      </w:tr>
    </w:tbl>
    <w:p>
      <w:pPr>
        <w:spacing w:before="160"/>
      </w:pPr>
      <w:r>
        <w:t>These are domain types and runtime records inside thing.webapp. They are not separate Things submitted for realization in this System. A ContactRecord is a person's private representation of another person. Linking it to an Account does not transfer ownership or reveal notes. The two ends of a Connection can have different private ContactRecords and goals. The first release allows at most one current goal per owned contact and one linked contact per owner and counterpart account. Account deletion, disconnection, blocking and deleting a private contact are different operations with different effects. Disconnecting removes shared capabilities while private records remain under their owner's control.</w:t>
      </w:r>
    </w:p>
    <w:p>
      <w:pPr>
        <w:pStyle w:val="Heading1"/>
      </w:pPr>
      <w:r>
        <w:t>6 Specification for the webapp Thing</w:t>
      </w:r>
    </w:p>
    <w:p>
      <w:r>
        <w:rPr>
          <w:b/>
        </w:rPr>
        <w:t>Specification ID:</w:t>
      </w:r>
      <w:r>
        <w:t xml:space="preserve"> spec.webapp.core. </w:t>
      </w:r>
      <w:r>
        <w:rPr>
          <w:b/>
        </w:rPr>
        <w:t>Subject:</w:t>
      </w:r>
      <w:r>
        <w:t xml:space="preserve"> thing.webapp. </w:t>
      </w:r>
      <w:r>
        <w:rPr>
          <w:b/>
        </w:rPr>
        <w:t>Representation:</w:t>
      </w:r>
      <w:r>
        <w:t xml:space="preserve"> its scoped Genome. This section defines required observable behaviour for the first release. Every requirement and the screen and operation rows below are normative within that scope. Assays in section 7 verify conformance against an exact candidate version of artifact.webapp.</w:t>
      </w:r>
    </w:p>
    <w:p>
      <w:pPr>
        <w:keepLines/>
      </w:pPr>
      <w:r>
        <w:rPr>
          <w:b/>
        </w:rPr>
        <w:t>S.webapp.scope:</w:t>
      </w:r>
      <w:r>
        <w:t xml:space="preserve"> the app must provide private contacts, goals, contact logging, invitation-based pair connections, in-app due prompts and settings. Direct in-app messaging, subscriptions, digests, media automation and groups must remain disabled in the core scope. Opening an external channel must require a user gesture; unsupported channels must offer copyable contact details.</w:t>
      </w:r>
    </w:p>
    <w:p>
      <w:pPr>
        <w:pStyle w:val="Heading2"/>
      </w:pPr>
      <w:r>
        <w:t>Scheduling requirements</w:t>
      </w:r>
    </w:p>
    <w:p>
      <w:pPr>
        <w:keepLines/>
      </w:pPr>
      <w:r>
        <w:rPr>
          <w:b/>
        </w:rPr>
        <w:t>S.webapp.qualification:</w:t>
      </w:r>
      <w:r>
        <w:t xml:space="preserve"> an enabled goal must have intervalDays from 1 through 3650 and desiredDepth in light, meaningful or shared-time. These are the owner's labels, not a global quality ranking. A ContactEvent must qualify only when the owner explicitly marks that it met this goal. The app must record the goal ID and desiredDepth at confirmation and count only qualifications matching the current desiredDepth. Changing depth may change which historical events qualify; SchedulePreview must show that effect before saving. Editing or deleting an event must recompute the schedule.</w:t>
      </w:r>
    </w:p>
    <w:p>
      <w:pPr>
        <w:keepLines/>
      </w:pPr>
      <w:r>
        <w:rPr>
          <w:b/>
        </w:rPr>
        <w:t>S.webapp.due:</w:t>
      </w:r>
      <w:r>
        <w:t xml:space="preserve"> the app must use local calendar dates in the owner's IANA time zone. The anchor must be the latest qualifying event date, or the goal creation date when none exists. dueDate must equal anchor plus intervalDays. A goal must become due when today's date reaches dueDate, unless paused or snoozed until a later date. Revising a goal must not create a ContactEvent. Date and time-zone fixtures must cover daylight-saving changes.</w:t>
      </w:r>
    </w:p>
    <w:p>
      <w:pPr>
        <w:keepLines/>
      </w:pPr>
      <w:r>
        <w:rPr>
          <w:b/>
        </w:rPr>
        <w:t>S.webapp.prompts:</w:t>
      </w:r>
      <w:r>
        <w:t xml:space="preserve"> Today must return at most five suggestions, ordered by effective due date then stable goal ID. There must be at most one open suggestion per goal version and due cycle. Logging qualifying contact must resolve its suggestion. Snoozing must update its effective due date; pausing must suppress prompts. Blocking a linked counterpart must pause the blocker's corresponding goal and suppress its suggestions. In-app reminders are required. Optional external reminders, when enabled, must be limited to one owner notification per local day containing a link without contact details. Reminder delivery must recheck preferences and cancellations.</w:t>
      </w:r>
    </w:p>
    <w:p>
      <w:pPr>
        <w:pStyle w:val="Heading2"/>
      </w:pPr>
      <w:r>
        <w:t>Screen requirements</w:t>
      </w:r>
    </w:p>
    <w:p>
      <w:pPr>
        <w:keepLines/>
      </w:pPr>
      <w:r>
        <w:rPr>
          <w:b/>
        </w:rPr>
        <w:t>S.webapp.screens:</w:t>
      </w:r>
      <w:r>
        <w:t xml:space="preserve"> authenticated screens must share one AppShell containing exactly TopBar, PrimaryNav and RouteOutlet. PrimaryNav must contain Today, People and Settings. Counts below specify required RouteOutlet composition, excluding the shell. All private screens must show one StatePanel for loading or fatal error in place of loaded content. Forms must keep entered values after recoverable validation or network errors and render one ErrorSummary when needed.</w:t>
      </w:r>
    </w:p>
    <w:tbl>
      <w:tblPr>
        <w:tblW w:type="auto" w:w="0"/>
        <w:jc w:val="center"/>
        <w:tblLayout w:type="fixed"/>
        <w:tblLook w:firstColumn="1" w:firstRow="1" w:lastColumn="0" w:lastRow="0" w:noHBand="0" w:noVBand="1" w:val="04A0"/>
      </w:tblPr>
      <w:tblGrid>
        <w:gridCol w:w="2736"/>
        <w:gridCol w:w="7344"/>
      </w:tblGrid>
      <w:tr>
        <w:trPr>
          <w:cantSplit/>
          <w:tblHeader/>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7EBEF"/>
          </w:tcPr>
          <w:p>
            <w:pPr>
              <w:spacing w:before="60" w:after="60" w:line="247" w:lineRule="auto"/>
            </w:pPr>
            <w:r>
              <w:rPr>
                <w:b/>
                <w:sz w:val="21"/>
              </w:rPr>
              <w:t>Screen and route</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7EBEF"/>
          </w:tcPr>
          <w:p>
            <w:pPr>
              <w:spacing w:before="60" w:after="60" w:line="247" w:lineRule="auto"/>
            </w:pPr>
            <w:r>
              <w:rPr>
                <w:b/>
                <w:sz w:val="21"/>
              </w:rPr>
              <w:t>Loaded composition and affordances</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Sign in /signin</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One SignInForm with one Continue control and one privacy link; no private content</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Today /today</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Exactly PageHeading, TodayControls and SuggestionCollection; 0–5 cards, or one EmptyState inside the collection. Each card has one person label, reason, Open person, Log contact and Snooze controls</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People /people</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Exactly PageHeading, SearchInput, AddContact control and ContactCollection. One ContactRow per result; each row has a name and Open control. One AddContactDialog only while invoked, with name, optional channel fields, Save and Cancel</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Person /people/:id</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Exactly PersonSummary, GoalPanel, ContactHistory, PrivateNotes, ConnectionPanel and ActionBar. History has one row per event. Actions are Edit goal, Log contact and Open channel; connection status determines Invite, Disconnect or Block availability</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Goal /people/:id/goal</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Exactly PageHeading, GoalForm and SchedulePreview. Form contains interval, depth, preferred channel and enabled controls, plus Save and Cancel. No saved goal displays as no goal, not as an inferred target</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Log contact /people/:id/log</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Exactly PersonSummary and ContactEventForm. Form contains date and time, channel, depth, Met this goal checkbox, optional note, Save and Cancel. Met this goal defaults unchecked and is disabled when no current goal exists</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Invitation /connect/:token</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Exactly InvitePreview and ConsentPanel after validation; Accept and Decline controls. Invalid, expired or used invitations show one UnavailablePanel and no acceptance control</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Settings /settings</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Exactly ProfilePreferences, NotificationPreferences, ExportControls and DeletionControls. Export and deletion act only on the authenticated owner's data</w:t>
            </w:r>
          </w:p>
        </w:tc>
      </w:tr>
    </w:tbl>
    <w:p>
      <w:pPr>
        <w:keepLines/>
        <w:spacing w:before="160"/>
      </w:pPr>
      <w:r>
        <w:rPr>
          <w:b/>
        </w:rPr>
        <w:t>S.webapp.authentication:</w:t>
      </w:r>
      <w:r>
        <w:t xml:space="preserve"> sensitive token routes must not leak tokens through analytics or referrers. Login continuation must preserve a validated invitation without consuming it. A pinned authentication Kit must specify the identity provider and its callback routes before realization.</w:t>
      </w:r>
    </w:p>
    <w:p>
      <w:pPr>
        <w:pStyle w:val="Heading2"/>
      </w:pPr>
      <w:r>
        <w:t>Operation requirements</w:t>
      </w:r>
    </w:p>
    <w:p>
      <w:pPr>
        <w:keepLines/>
      </w:pPr>
      <w:r>
        <w:rPr>
          <w:b/>
        </w:rPr>
        <w:t>S.webapp.operations:</w:t>
      </w:r>
      <w:r>
        <w:t xml:space="preserve"> all mutations must authorize the authenticated owner or explicit connected capability at the server, validate inputs and support an idempotency key. Creation must return an immutable ID and version. Reads and writes to another owner's private records must return a non-revealing denial. Concurrent stale-version edits must return conflict without overwriting current data. Each operation row below defines required preconditions and effects.</w:t>
      </w:r>
    </w:p>
    <w:tbl>
      <w:tblPr>
        <w:tblW w:type="auto" w:w="0"/>
        <w:jc w:val="center"/>
        <w:tblLayout w:type="fixed"/>
        <w:tblLook w:firstColumn="1" w:firstRow="1" w:lastColumn="0" w:lastRow="0" w:noHBand="0" w:noVBand="1" w:val="04A0"/>
      </w:tblPr>
      <w:tblGrid>
        <w:gridCol w:w="2736"/>
        <w:gridCol w:w="7344"/>
      </w:tblGrid>
      <w:tr>
        <w:trPr>
          <w:cantSplit/>
          <w:tblHeader/>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7EBEF"/>
          </w:tcPr>
          <w:p>
            <w:pPr>
              <w:spacing w:before="60" w:after="60" w:line="247" w:lineRule="auto"/>
            </w:pPr>
            <w:r>
              <w:rPr>
                <w:b/>
                <w:sz w:val="21"/>
              </w:rPr>
              <w:t>Operation</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7EBEF"/>
          </w:tcPr>
          <w:p>
            <w:pPr>
              <w:spacing w:before="60" w:after="60" w:line="247" w:lineRule="auto"/>
            </w:pPr>
            <w:r>
              <w:rPr>
                <w:b/>
                <w:sz w:val="21"/>
              </w:rPr>
              <w:t>Preconditions and resulting state</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Create or edit private contact</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Owner session; nonblank name. Save only that owner's record; editing does not send invitations</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Save goal</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Owned contact and valid interval. Increment goal version, recompute due state and cancel obsolete jobs</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Log or revise contact</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Owned contact, nonfuture event time. Persist event; recompute affected goals without sending anything</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Create invite</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Authenticated inviter. Generate at least 128 bits of randomness, store only a token hash, expire after 24 hours and allow one successful acceptance</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Accept invite</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Signed-in distinct invitee, valid unused credential, no block in either direction. Atomically consume invite and create or return the unique active pair</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Disconnect or block</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Participant authority. Revoke affected app sharing and cancel pending deliveries; a block prevents new app-mediated contact until removed</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Export or delete</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Owner reauthentication. Export authorized records; deletion revokes access immediately, cancels jobs and purges owned live data within seven days. Backup expiry follows a pinned retention policy disclosed separately</w:t>
            </w:r>
          </w:p>
        </w:tc>
      </w:tr>
    </w:tbl>
    <w:p>
      <w:pPr>
        <w:keepLines/>
        <w:spacing w:before="160"/>
      </w:pPr>
      <w:r>
        <w:rPr>
          <w:b/>
        </w:rPr>
        <w:t>S.webapp.concurrency:</w:t>
      </w:r>
      <w:r>
        <w:t xml:space="preserve"> invite redemption must survive two concurrent accept requests without two pairs or two redemptions. Read and send authorization must check revocation against current authoritative state. Already delivered external messages or copied data remain outside our ability to retract.</w:t>
      </w:r>
    </w:p>
    <w:p>
      <w:pPr>
        <w:pStyle w:val="Heading2"/>
      </w:pPr>
      <w:r>
        <w:t>Nested ontology navigation</w:t>
      </w:r>
    </w:p>
    <w:p>
      <w:r>
        <w:t>The System contains one Thing, thing.webapp. Its Genome view exposes the following ontology; the rows identify containment and cross-links within that Thing, not additional deployables. Existing screen and operation requirements remain normative.</w:t>
      </w:r>
    </w:p>
    <w:tbl>
      <w:tblPr>
        <w:tblW w:type="auto" w:w="0"/>
        <w:jc w:val="center"/>
        <w:tblLayout w:type="fixed"/>
        <w:tblLook w:firstColumn="1" w:firstRow="1" w:lastColumn="0" w:lastRow="0" w:noHBand="0" w:noVBand="1" w:val="04A0"/>
      </w:tblPr>
      <w:tblGrid>
        <w:gridCol w:w="2736"/>
        <w:gridCol w:w="7344"/>
      </w:tblGrid>
      <w:tr>
        <w:trPr>
          <w:cantSplit/>
          <w:tblHeader/>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7EBEF"/>
          </w:tcPr>
          <w:p>
            <w:pPr>
              <w:spacing w:before="60" w:after="60" w:line="247" w:lineRule="auto"/>
            </w:pPr>
            <w:r>
              <w:rPr>
                <w:b/>
                <w:sz w:val="21"/>
              </w:rPr>
              <w:t>Focus</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7EBEF"/>
          </w:tcPr>
          <w:p>
            <w:pPr>
              <w:spacing w:before="60" w:after="60" w:line="247" w:lineRule="auto"/>
            </w:pPr>
            <w:r>
              <w:rPr>
                <w:b/>
                <w:sz w:val="21"/>
              </w:rPr>
              <w:t>Children or linked subjects</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thing.webapp</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UI, Domain, Authorization and Runtime sections; app existence and health at this root</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UI</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Sign in, Today, People, Person, Goal, Log contact, Invitation and Settings screens and their routes</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screen.people</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PageHeading, SearchInput, AddContact, ContactCollection and the conditional AddContactDialog</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AddContactDialog</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Name and channel fields, Save and Cancel; Save invokes operation.contact.save</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Domain</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Account, ContactRecord, RelationshipGoal, ContactEvent, Connection, ConnectionInvite and scheduling types</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entity.ContactRecord</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Owner, name and optional channel fields; owner-only invariant; storedIn runtime.contactsStore</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Authorization</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Owner-only access, explicit pair consent and current revocation policies linked to screens and operations</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Runtime</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Worker app binding, runtime.contactsStore as the intended D1 binding, scheduler and optional adapters</w:t>
            </w:r>
          </w:p>
        </w:tc>
      </w:tr>
    </w:tbl>
    <w:p>
      <w:pPr>
        <w:spacing w:before="160"/>
      </w:pPr>
      <w:r>
        <w:t>Node IDs are stable within thing.webapp and map to existing requirement, screen and operation identities. Save is a semantic affordance whether or not its button has been implemented. Its operation writes ContactRecord and is governed by the owner-only policy. The D1 binding describes storage, while the Cloudflare service is part of external provider context; actual database and deployment IDs arrive with realizations. No Durable Object is required for this app solely because it is modeled; an accepted alternative must declare its storage semantics and mappings.</w:t>
      </w:r>
    </w:p>
    <w:p>
      <w:r>
        <w:t>Genome can be explored from the whole experience down to fields and actions. At the same selected node, Proteome shows realization tasks and test implementations; Phenome shows planned assays, observations and feedback relevant to that node. An Artifact realizes the pinned Thing ontology and declared scope; a screen does not need a separate Artifact to have its own criteria.</w:t>
      </w:r>
    </w:p>
    <w:p>
      <w:pPr>
        <w:pStyle w:val="Heading1"/>
      </w:pPr>
      <w:r>
        <w:t>7 System and Thing criteria and hooks</w:t>
      </w:r>
    </w:p>
    <w:p>
      <w:r>
        <w:t>Criteria attach to their semantic subject at any depth: system.keep-in-touch, thing.webapp, a screen, component, policy, entity or operation. Accountability remains with the System or owning Thing; subjectKind and subjectId identify the precise node separately from ownerKind, ownerId and the candidate evidence target. Rule Packs supply reusable criteria and Assay definitions; selecting a pack must instantiate its criteria with explicit owners. The System owns Purpose, Externals, Theory, topology and readiness obligations. The webapp Thing owns specification conformance and Artifact behaviour. System obligations constrain the Thing through explicit inheritance and satisfaction links.</w:t>
      </w:r>
    </w:p>
    <w:p>
      <w:pPr>
        <w:pStyle w:val="Heading2"/>
      </w:pPr>
      <w:r>
        <w:t>System criteria</w:t>
      </w:r>
    </w:p>
    <w:p>
      <w:r>
        <w:t>The following criteria belong to system.keep-in-touch. Their model hooks inspect the protected System revision and its complete candidate manifest. Outcome hooks inspect observations under the section 4 protocol rather than assuming that a working app achieves its Purpose.</w:t>
      </w:r>
    </w:p>
    <w:tbl>
      <w:tblPr>
        <w:tblW w:type="auto" w:w="0"/>
        <w:jc w:val="center"/>
        <w:tblLayout w:type="fixed"/>
        <w:tblLook w:firstColumn="1" w:firstRow="1" w:lastColumn="0" w:lastRow="0" w:noHBand="0" w:noVBand="1" w:val="04A0"/>
      </w:tblPr>
      <w:tblGrid>
        <w:gridCol w:w="2736"/>
        <w:gridCol w:w="7344"/>
      </w:tblGrid>
      <w:tr>
        <w:trPr>
          <w:cantSplit/>
          <w:tblHeader/>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7EBEF"/>
          </w:tcPr>
          <w:p>
            <w:pPr>
              <w:spacing w:before="60" w:after="60" w:line="247" w:lineRule="auto"/>
            </w:pPr>
            <w:r>
              <w:rPr>
                <w:b/>
                <w:sz w:val="21"/>
              </w:rPr>
              <w:t>System criterion</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7EBEF"/>
          </w:tcPr>
          <w:p>
            <w:pPr>
              <w:spacing w:before="60" w:after="60" w:line="247" w:lineRule="auto"/>
            </w:pPr>
            <w:r>
              <w:rPr>
                <w:b/>
                <w:sz w:val="21"/>
              </w:rPr>
              <w:t>Claim and Assay hook</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C.system.structure</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Require exactly one app Thing, thing.webapp, with a specification and artifact.webapp binding; require Purpose, Externals, Theory and ontology references. Reject dangling references or domain types incorrectly declared as independently realized Things</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C.system.purpose</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Require T1–T5 to link activities, intended outcomes, measures and limitations to P1. Model validation rejects missing measures or engagement substituted for wanted contact; pilot outcome hooks record support, challenge or unknown separately from conformance</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C.system.topology</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Require two-endpoint pairs, one target per outgoing direct action, private incoming aggregation and disabled group scope. Model validation rejects recipient arrays or an enabled digest without an accepted publication contract; C.webapp.outgoing.single supplies implementation evidence</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C.system.autonomy</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Require owner-only goals and notes, explicit consent, revocation and notification bounds across enabled scope. A coverage hook must resolve these obligations to C.webapp.private.owner, C.webapp.connection.consent, C.webapp.revocation.current and C.webapp.prompts.bounded</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C.system.readiness</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Require every enabled specification requirement to resolve to a protected criterion and executable hook, with Kits and versions pinned. Excluded later modules do not block the core; an enabled module with missing contracts or hooks does</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C.system.promotion</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Require the expected current base, authorized Evolution scope, exact final Artifact manifest and fresh required System and Thing evidence. A stale base or evidence for a different candidate blocks promotion; composed candidates require new evidence</w:t>
            </w:r>
          </w:p>
        </w:tc>
      </w:tr>
    </w:tbl>
    <w:p>
      <w:pPr>
        <w:spacing w:before="160"/>
      </w:pPr>
      <w:r>
        <w:t>C.system.purpose has distinct model-readiness and outcome bindings. A specified measurement plan can satisfy readiness before user observations exist. Missing observations remain unknown; positive relationship effects are not a precondition for promoting the first conforming app. Later outcome Evaluations can motivate new Evolutions without rewriting historical conformance results.</w:t>
      </w:r>
    </w:p>
    <w:p>
      <w:pPr>
        <w:pStyle w:val="Heading2"/>
      </w:pPr>
      <w:r>
        <w:t>Criteria for the webapp Thing</w:t>
      </w:r>
    </w:p>
    <w:p>
      <w:r>
        <w:t>Every criterion below belongs to thing.webapp. Its hooks target the corresponding candidate version of artifact.webapp. Select privacy, consent, relationship topology, notification restraint, accessibility and Cloudflare webapp Rule Packs for this Thing, retaining their provenance and inherited System obligations.</w:t>
      </w:r>
    </w:p>
    <w:tbl>
      <w:tblPr>
        <w:tblW w:type="auto" w:w="0"/>
        <w:jc w:val="center"/>
        <w:tblLayout w:type="fixed"/>
        <w:tblLook w:firstColumn="1" w:firstRow="1" w:lastColumn="0" w:lastRow="0" w:noHBand="0" w:noVBand="1" w:val="04A0"/>
      </w:tblPr>
      <w:tblGrid>
        <w:gridCol w:w="3312"/>
        <w:gridCol w:w="6768"/>
      </w:tblGrid>
      <w:tr>
        <w:trPr>
          <w:cantSplit/>
          <w:tblHeader/>
        </w:trPr>
        <w:tc>
          <w:tcPr>
            <w:tcW w:type="dxa" w:w="331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7EBEF"/>
          </w:tcPr>
          <w:p>
            <w:pPr>
              <w:spacing w:before="60" w:after="60" w:line="247" w:lineRule="auto"/>
            </w:pPr>
            <w:r>
              <w:rPr>
                <w:b/>
                <w:sz w:val="21"/>
              </w:rPr>
              <w:t>Thing criterion</w:t>
            </w:r>
          </w:p>
        </w:tc>
        <w:tc>
          <w:tcPr>
            <w:tcW w:type="dxa" w:w="67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7EBEF"/>
          </w:tcPr>
          <w:p>
            <w:pPr>
              <w:spacing w:before="60" w:after="60" w:line="247" w:lineRule="auto"/>
            </w:pPr>
            <w:r>
              <w:rPr>
                <w:b/>
                <w:sz w:val="21"/>
              </w:rPr>
              <w:t>Specification link and Assay hook</w:t>
            </w:r>
          </w:p>
        </w:tc>
      </w:tr>
      <w:tr>
        <w:trPr>
          <w:cantSplit/>
        </w:trPr>
        <w:tc>
          <w:tcPr>
            <w:tcW w:type="dxa" w:w="331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C.webapp.exists</w:t>
            </w:r>
          </w:p>
        </w:tc>
        <w:tc>
          <w:tcPr>
            <w:tcW w:type="dxa" w:w="67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S.webapp.scope; basic manifest hook resolves the full-stack Artifact, commit and required Worker entry files. Missing or placeholder code fails</w:t>
            </w:r>
          </w:p>
        </w:tc>
      </w:tr>
      <w:tr>
        <w:trPr>
          <w:cantSplit/>
        </w:trPr>
        <w:tc>
          <w:tcPr>
            <w:tcW w:type="dxa" w:w="331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C.webapp.health</w:t>
            </w:r>
          </w:p>
        </w:tc>
        <w:tc>
          <w:tcPr>
            <w:tcW w:type="dxa" w:w="67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Cloudflare realization contract; execution hook probes exact candidate GET /health within two seconds after startup. Require HTTP 200, status ok and matching build ID</w:t>
            </w:r>
          </w:p>
        </w:tc>
      </w:tr>
      <w:tr>
        <w:trPr>
          <w:cantSplit/>
        </w:trPr>
        <w:tc>
          <w:tcPr>
            <w:tcW w:type="dxa" w:w="331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C.webapp.private.owner</w:t>
            </w:r>
          </w:p>
        </w:tc>
        <w:tc>
          <w:tcPr>
            <w:tcW w:type="dxa" w:w="67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S.webapp.operations; API fixture proves one user cannot read or mutate another's contacts, notes, goals or logs. Include guessed IDs and export</w:t>
            </w:r>
          </w:p>
        </w:tc>
      </w:tr>
      <w:tr>
        <w:trPr>
          <w:cantSplit/>
        </w:trPr>
        <w:tc>
          <w:tcPr>
            <w:tcW w:type="dxa" w:w="331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C.webapp.connection.consent</w:t>
            </w:r>
          </w:p>
        </w:tc>
        <w:tc>
          <w:tcPr>
            <w:tcW w:type="dxa" w:w="67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S.webapp.operations and S.webapp.concurrency; invite fixture covers acceptance, expiry, replay, self-connection, block and simultaneous redemption</w:t>
            </w:r>
          </w:p>
        </w:tc>
      </w:tr>
      <w:tr>
        <w:trPr>
          <w:cantSplit/>
        </w:trPr>
        <w:tc>
          <w:tcPr>
            <w:tcW w:type="dxa" w:w="331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C.webapp.outgoing.single</w:t>
            </w:r>
          </w:p>
        </w:tc>
        <w:tc>
          <w:tcPr>
            <w:tcW w:type="dxa" w:w="67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S.webapp.scope and C.system.topology; direct-action schema accepts exactly one target and rejects recipient arrays and group endpoints. Publication requires a separately accepted contract</w:t>
            </w:r>
          </w:p>
        </w:tc>
      </w:tr>
      <w:tr>
        <w:trPr>
          <w:cantSplit/>
        </w:trPr>
        <w:tc>
          <w:tcPr>
            <w:tcW w:type="dxa" w:w="331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C.webapp.schedule.correct</w:t>
            </w:r>
          </w:p>
        </w:tc>
        <w:tc>
          <w:tcPr>
            <w:tcW w:type="dxa" w:w="67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S.webapp.qualification and S.webapp.due; fixed-clock fixtures cover zero logs, qualification, interval and depth changes, time zones, DST, snooze, pause and deleted events</w:t>
            </w:r>
          </w:p>
        </w:tc>
      </w:tr>
      <w:tr>
        <w:trPr>
          <w:cantSplit/>
        </w:trPr>
        <w:tc>
          <w:tcPr>
            <w:tcW w:type="dxa" w:w="331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C.webapp.prompts.bounded</w:t>
            </w:r>
          </w:p>
        </w:tc>
        <w:tc>
          <w:tcPr>
            <w:tcW w:type="dxa" w:w="67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S.webapp.prompts; six due goals yield exactly five ordered cards. Duplicate jobs must not duplicate prompts or owner reminders</w:t>
            </w:r>
          </w:p>
        </w:tc>
      </w:tr>
      <w:tr>
        <w:trPr>
          <w:cantSplit/>
        </w:trPr>
        <w:tc>
          <w:tcPr>
            <w:tcW w:type="dxa" w:w="331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C.webapp.screen.exact</w:t>
            </w:r>
          </w:p>
        </w:tc>
        <w:tc>
          <w:tcPr>
            <w:tcW w:type="dxa" w:w="67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S.webapp.screens and S.webapp.authentication; protected browser fixture checks loaded, empty, loading, error and validation compositions, login continuation and keyboard actions</w:t>
            </w:r>
          </w:p>
        </w:tc>
      </w:tr>
      <w:tr>
        <w:trPr>
          <w:cantSplit/>
        </w:trPr>
        <w:tc>
          <w:tcPr>
            <w:tcW w:type="dxa" w:w="331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C.webapp.revocation.current</w:t>
            </w:r>
          </w:p>
        </w:tc>
        <w:tc>
          <w:tcPr>
            <w:tcW w:type="dxa" w:w="67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S.webapp.concurrency; revoke access after a job is queued, then retry dispatch and access. No new authorized sharing may follow revocation</w:t>
            </w:r>
          </w:p>
        </w:tc>
      </w:tr>
      <w:tr>
        <w:trPr>
          <w:cantSplit/>
        </w:trPr>
        <w:tc>
          <w:tcPr>
            <w:tcW w:type="dxa" w:w="331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C.webapp.lifecycle.data</w:t>
            </w:r>
          </w:p>
        </w:tc>
        <w:tc>
          <w:tcPr>
            <w:tcW w:type="dxa" w:w="67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S.webapp.operations; owner export excludes others' data. Account deletion revokes sessions and jobs and meets live-data purge and retention contracts</w:t>
            </w:r>
          </w:p>
        </w:tc>
      </w:tr>
      <w:tr>
        <w:trPr>
          <w:cantSplit/>
        </w:trPr>
        <w:tc>
          <w:tcPr>
            <w:tcW w:type="dxa" w:w="331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C.webapp.digest.private later</w:t>
            </w:r>
          </w:p>
        </w:tc>
        <w:tc>
          <w:tcPr>
            <w:tcW w:type="dxa" w:w="67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Later digest specification; subscriber permissions, future-only editions, no shared replies and blocked or unsubscribed access. Applicable only after the module is enabled</w:t>
            </w:r>
          </w:p>
        </w:tc>
      </w:tr>
      <w:tr>
        <w:trPr>
          <w:cantSplit/>
        </w:trPr>
        <w:tc>
          <w:tcPr>
            <w:tcW w:type="dxa" w:w="331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C.webapp.photo.approved later</w:t>
            </w:r>
          </w:p>
        </w:tc>
        <w:tc>
          <w:tcPr>
            <w:tcW w:type="dxa" w:w="67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Later photo specification; no upload or send before explicit file and recipient approval. Declined permission must leave the manual app usable. Applicable only after the module is enabled</w:t>
            </w:r>
          </w:p>
        </w:tc>
      </w:tr>
    </w:tbl>
    <w:p>
      <w:pPr>
        <w:spacing w:before="160"/>
      </w:pPr>
      <w:r>
        <w:t>Refinement links connect General Description features GD.contacts, GD.goals, GD.connect, GD.prompts and GD.updates to specification requirements and then to Thing criteria. A System criterion may require evidence from several Thing criteria; that relationship does not change their ownership. If another Thing is introduced later, it receives its own criterion set and the applicable System obligations.</w:t>
      </w:r>
    </w:p>
    <w:p>
      <w:pPr>
        <w:pStyle w:val="Heading2"/>
      </w:pPr>
      <w:r>
        <w:t>Local assay subjects and the planned Phenome</w:t>
      </w:r>
    </w:p>
    <w:p>
      <w:r>
        <w:t>The following mappings make local attachment explicit while retaining thing.webapp as accountable owner. Existing criteria may be refined into child criteria with stable IDs and explicit coverage links; no parent passes merely because one child passes.</w:t>
      </w:r>
    </w:p>
    <w:tbl>
      <w:tblPr>
        <w:tblW w:type="auto" w:w="0"/>
        <w:jc w:val="center"/>
        <w:tblLayout w:type="fixed"/>
        <w:tblLook w:firstColumn="1" w:firstRow="1" w:lastColumn="0" w:lastRow="0" w:noHBand="0" w:noVBand="1" w:val="04A0"/>
      </w:tblPr>
      <w:tblGrid>
        <w:gridCol w:w="2736"/>
        <w:gridCol w:w="7344"/>
      </w:tblGrid>
      <w:tr>
        <w:trPr>
          <w:cantSplit/>
          <w:tblHeader/>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7EBEF"/>
          </w:tcPr>
          <w:p>
            <w:pPr>
              <w:spacing w:before="60" w:after="60" w:line="247" w:lineRule="auto"/>
            </w:pPr>
            <w:r>
              <w:rPr>
                <w:b/>
                <w:sz w:val="21"/>
              </w:rPr>
              <w:t>Semantic subject</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7EBEF"/>
          </w:tcPr>
          <w:p>
            <w:pPr>
              <w:spacing w:before="60" w:after="60" w:line="247" w:lineRule="auto"/>
            </w:pPr>
            <w:r>
              <w:rPr>
                <w:b/>
                <w:sz w:val="21"/>
              </w:rPr>
              <w:t>Criterion and observation contract</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thing.webapp</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C.webapp.exists and C.webapp.health check the candidate Artifact and exact running build</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screen.people</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C.webapp.screen.people refines C.webapp.screen.exact for loaded, empty, loading, error and dialog states</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AddContactDialog.Save</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C.webapp.contact.save validates nonblank name, preserves input on failure and saves only an owned record; refines S.webapp.operations coverage</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authorization.ownerOnly</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C.webapp.private.owner checks that another account cannot read or mutate private records</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entity.ContactRecord</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C.webapp.contact.storage checks owner and version constraints and authorized persistence through the declared storage binding</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screen.today</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C.webapp.prompts.bounded checks the finite ordered suggestions and state changes</w:t>
            </w:r>
          </w:p>
        </w:tc>
      </w:tr>
    </w:tbl>
    <w:p>
      <w:pPr>
        <w:spacing w:before="160"/>
      </w:pPr>
      <w:r>
        <w:t>Register these assay definitions before app implementation. Phenome then displays the subjects, intended observations and expected values with implementation missing or not-run state and unknown verdict. Proteome later binds the protected fixtures, assertions and runners, while each run pins the same definition, criterion, candidate and revision. This document specifies those contracts; it reports no completed run.</w:t>
      </w:r>
    </w:p>
    <w:p>
      <w:r>
        <w:t>Phenome also lists owner feedback on whether suggestions felt welcome, the section 4 measures of wanted contact and unwanted pressure, runtime health metrics and incident reports. Feedback responses and outcome measurements retain their source, time, consent context and limitations; they are not automatically assertion passes. Accepted definitions live in the versioned ontology, while authorized new observations can be recorded without changing the Genome. Changes to expectations or measurement meaning require admin acceptance.</w:t>
      </w:r>
    </w:p>
    <w:p>
      <w:pPr>
        <w:pStyle w:val="Heading2"/>
      </w:pPr>
      <w:r>
        <w:t>Hook execution and promotion gates</w:t>
      </w:r>
    </w:p>
    <w:p>
      <w:r>
        <w:t>Every Criterion records its owner ID, source claim or specification requirement, version and scope. Every hook pins the Criterion and Assay versions, target System revision or Thing Artifact version, fixtures, runner authority, timeout, usage cap, cost tier, scheduling policy and required gate. Evaluation results retain both the owner and exact target; a passing Thing check alone does not certify the System.</w:t>
      </w:r>
    </w:p>
    <w:p>
      <w:r>
        <w:t>Basic deterministic model and manifest checks run on every submission. Health and core permission and scheduling smoke checks run on each runnable candidate. Heavier browser suites run on selected candidates and the final composition. Required unrun, unknown or stale checks at either level block promotion. Evidence for another Artifact version cannot satisfy the current candidate's gate.</w:t>
      </w:r>
    </w:p>
    <w:p>
      <w:r>
        <w:t>Optional System semantic hooks review whether Theory and descriptions support P1 and remain consistent with Externals. Optional Thing semantic hooks review whether suggestions are respectful, specific and faithful to user-provided context. A decision model selects typed issue categories; an LLM may explain ambiguous cases. Neither infers consent nor approves sharing. Run these on selected candidates under an explicit budget, with abstention and provenance. Private production content is not automatically supplied to models. Outcome Evaluations for T1–T5 remain separate from implementation conformance.</w:t>
      </w:r>
    </w:p>
    <w:p>
      <w:pPr>
        <w:pStyle w:val="Heading1"/>
      </w:pPr>
      <w:r>
        <w:t>8 Cloudflare realization contract</w:t>
      </w:r>
    </w:p>
    <w:tbl>
      <w:tblPr>
        <w:tblW w:type="auto" w:w="0"/>
        <w:jc w:val="center"/>
        <w:tblLayout w:type="fixed"/>
        <w:tblLook w:firstColumn="1" w:firstRow="1" w:lastColumn="0" w:lastRow="0" w:noHBand="0" w:noVBand="1" w:val="04A0"/>
      </w:tblPr>
      <w:tblGrid>
        <w:gridCol w:w="2736"/>
        <w:gridCol w:w="7344"/>
      </w:tblGrid>
      <w:tr>
        <w:trPr>
          <w:cantSplit/>
          <w:tblHeader/>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7EBEF"/>
          </w:tcPr>
          <w:p>
            <w:pPr>
              <w:spacing w:before="60" w:after="60" w:line="247" w:lineRule="auto"/>
            </w:pPr>
            <w:r>
              <w:rPr>
                <w:b/>
                <w:sz w:val="21"/>
              </w:rPr>
              <w:t>Responsibility</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7EBEF"/>
          </w:tcPr>
          <w:p>
            <w:pPr>
              <w:spacing w:before="60" w:after="60" w:line="247" w:lineRule="auto"/>
            </w:pPr>
            <w:r>
              <w:rPr>
                <w:b/>
                <w:sz w:val="21"/>
              </w:rPr>
              <w:t>Proposed primitive and boundary</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Full-stack app</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Workers with Static Assets; authenticated API and invitation routes run through the Worker rather than falling through to SPA assets [1]</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Private relational state</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D1 for accounts, owned contacts, goals, events, consent and jobs; foreign keys, unique pair keys and conditional writes enforce structure [2]</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Scheduling</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A Cron Trigger identifies due work using each owner's local dates. D1 stores schedule state; Queues handles optional delivery work with deduplication [3, 4]</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Private media later</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Private R2 binding behind Worker authorization; no public bucket or permanent public media URL [5]</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Identity and notifications</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Explicit external adapters; Cloudflare deployment does not by itself provide consumer login, SMS, push or universal message access</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Optional live conversation</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Durable Objects only if a later messaging Evolution needs coordinated live state; not required for the contact manager</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Optional models</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Workers AI or an approved provider, with explicit processing permissions and budgets; deterministic scheduling works without AI</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Verification</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Workers Vitest integration for runtime and binding checks; protected browser Assays on isolated previews [6]</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Source and collaboration</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Artifacts for code, model and Kit versions; local agents receive scoped Task Packets. The platform's System authority manages promotion, not user relationship state</w:t>
            </w:r>
          </w:p>
        </w:tc>
      </w:tr>
    </w:tbl>
    <w:p>
      <w:pPr>
        <w:spacing w:before="160"/>
      </w:pPr>
      <w:r>
        <w:t>D1 batch transactions support related writes; conditional SQL and constraints must enforce redemption and revocation without a separate read-then-write race. If replicas are introduced, permission reads require current authoritative state; D1 first-primary sessions can start with the latest primary data. [2] Queues provides at-least-once delivery, so deduplication and notification-provider idempotency are application responsibilities. [4] Queue bodies carry minimal IDs, not private relationship notes.</w:t>
      </w:r>
    </w:p>
    <w:p>
      <w:r>
        <w:t>Use separate preview D1 and R2 resources and synthetic people. Source rollback does not reverse runtime mutations. Do not place contacts, photos, tokens or production secrets in Artifacts or Task Packets. Collect operational errors and aggregate counts without personal payloads. Model and source revisions are versioned; user data follows its own access and retention policy.</w:t>
      </w:r>
    </w:p>
    <w:p>
      <w:pPr>
        <w:pStyle w:val="Heading1"/>
      </w:pPr>
      <w:r>
        <w:t>9 Readiness Evolutions and agent handoff</w:t>
      </w:r>
    </w:p>
    <w:p>
      <w:r>
        <w:t>Only System admins accept changes to this Genome: Purpose, topology, Thing definitions, requirements, Templates, criteria and rules. Contributors and coding agents may propose amendments as Evolutions and submit Artifact realizations of the approved specification. Implementation acceptance cannot silently change consent or scope. Prepare an impact summary for admin review, including affected journeys, requirements and evidence; retain unresolved amendments separately from the accepted contract.</w:t>
      </w:r>
    </w:p>
    <w:p>
      <w:r>
        <w:t>The Proteome describes the implementation, verification and repair agents and their capabilities; all may run under the user's local coding-agent system. Their outputs are Artifact versions, Assay results and Evaluations. The Phenome lists planned assays, feedback channels and T1–T5 measurement definitions before realization, then holds health, performance, feedback and outcome observations with source, time window, units or response schema and exact release identity where applicable. Local implementation logs require the same verifier trust checks as hosted results.</w:t>
      </w:r>
    </w:p>
    <w:p>
      <w:r>
        <w:t>Fitness combines this System's purpose-aligned outcome profile, operational conformance and autonomy counter-indicators without turning relationship quality into a universal score. Parity preserves accepted contact, goal, consent and data-control capabilities across Evolutions, alongside platform Git compatibility. Holism requires whole-System consent and scheduling checks; intentionality preserves the coupled private-contact commitments and their links to P1. Future changes are Evolutions; completed change records are System and repository commits linked back to that intent.</w:t>
      </w:r>
    </w:p>
    <w:p>
      <w:r>
        <w:t>The typed model and an Ascent-style rule evaluator must derive ownership, pair cardinality, enabled modules, source-to-criterion coverage and applicable hooks. Readiness also requires coverage of core flows by source-linked journey steps and preservation of the accepted distinctive commitments; unresolved later journeys stay outside the core Evolution. Structural view checks establish reference and revision consistency, not whether the experience is enjoyable. Missing ownership, a recipient array under this profile, a private goal exposed to its contact, an enabled digest without an accepted topology contract, or an outcome without a measurement plan is a model finding. Approved semantic judgments can clarify language; deterministic policy decides actionability.</w:t>
      </w:r>
    </w:p>
    <w:p>
      <w:r>
        <w:t>This is an Unrealized System with a proposed specification for thing.webapp expressed in its core Genome. Pin the authentication provider and Kit, permission and retention packs, source scaffold, hook registry and schema versions before claiming core readiness. Digest interpretation, native gallery capabilities, live messaging and groups are explicit later-scope decisions; they do not block a properly scoped contacts Evolution.</w:t>
      </w:r>
    </w:p>
    <w:tbl>
      <w:tblPr>
        <w:tblW w:type="auto" w:w="0"/>
        <w:jc w:val="center"/>
        <w:tblLayout w:type="fixed"/>
        <w:tblLook w:firstColumn="1" w:firstRow="1" w:lastColumn="0" w:lastRow="0" w:noHBand="0" w:noVBand="1" w:val="04A0"/>
      </w:tblPr>
      <w:tblGrid>
        <w:gridCol w:w="2736"/>
        <w:gridCol w:w="7344"/>
      </w:tblGrid>
      <w:tr>
        <w:trPr>
          <w:cantSplit/>
          <w:tblHeader/>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7EBEF"/>
          </w:tcPr>
          <w:p>
            <w:pPr>
              <w:spacing w:before="60" w:after="60" w:line="247" w:lineRule="auto"/>
            </w:pPr>
            <w:r>
              <w:rPr>
                <w:b/>
                <w:sz w:val="21"/>
              </w:rPr>
              <w:t>Evolution</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7EBEF"/>
          </w:tcPr>
          <w:p>
            <w:pPr>
              <w:spacing w:before="60" w:after="60" w:line="247" w:lineRule="auto"/>
            </w:pPr>
            <w:r>
              <w:rPr>
                <w:b/>
                <w:sz w:val="21"/>
              </w:rPr>
              <w:t>Semantic delta and exit evidence</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evolution.1 Private contact foundation</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Establish owner-only contacts, app identity and health; existence, health, owner isolation and screen Assays</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evolution.2 Goals and contact memory</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Add goal contracts, event qualification and Today prompts; fixed-clock and bounded-card fixtures</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evolution.3 Consented pair connections</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Add invite state machine, unique pairs, disconnect and block; concurrent redemption and revocation fixtures</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evolution.4 Owner reminders and lifecycle</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Add optional reminder transport, export and deletion; cancellation, deduplication and retention fixtures</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evolution.5 Private digests later</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Resolve publication topology, audience and subscription contract first; verify no group interaction emerges</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evolution.6 Photo suggestions later</w:t>
            </w:r>
          </w:p>
        </w:tc>
        <w:tc>
          <w:tcPr>
            <w:tcW w:type="dxa" w:w="73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before="60" w:after="60" w:line="247" w:lineRule="auto"/>
            </w:pPr>
            <w:r>
              <w:rPr>
                <w:sz w:val="21"/>
              </w:rPr>
              <w:t>Specify device capability, local or provider processing and approval contract first; verify no unapproved sharing</w:t>
            </w:r>
          </w:p>
        </w:tc>
      </w:tr>
    </w:tbl>
    <w:p>
      <w:pPr>
        <w:spacing w:before="160"/>
      </w:pPr>
      <w:r>
        <w:t>Any Evolution may have competing local-agent Realizations. Complementary candidates must be composed into a new exact app version and re-evaluated. A permissions change and a scheduler change overlap through consent even if they edit different files. Promotions require the current base, authorized scope and fresh required evidence, and create a System commit linking the manifest, repository commits and Evolution. Genome amendments require admin acceptance; deployment remains separate.</w:t>
      </w:r>
    </w:p>
    <w:p>
      <w:r>
        <w:t>Task Packets include the System and Thing IDs, preserved core commitments, relevant structure and individual journey views with pinned model revisions, feature and specification requirement IDs, affected ontology nodes, applicable System and Thing criteria, proposed entry paths such as ui/people, api/connections and domain/scheduling, setup commands, synthetic fixtures and submission manifest. Validate paths against the scaffold before assignment. Repair packets carry a failing criterion and reproduction, not a broad request to reinterpret the System. Maintenance and evolution preserve T1–T5 observations and can generate new Evolutions.</w:t>
      </w:r>
    </w:p>
    <w:p>
      <w:pPr>
        <w:pStyle w:val="Heading1"/>
      </w:pPr>
      <w:r>
        <w:t>References and design basis</w:t>
      </w:r>
    </w:p>
    <w:p>
      <w:r>
        <w:t>Design basis: System Platform Plan and Requirements, current working version updated October 12, 2026, including Criterion and Assay hook contracts, preservation of opinionated designs and separate visual projections. Product choices above are proposed contracts, not provider guarantees or evidence of relationship outcomes. Cloudflare documentation checked October 8, 2026.</w:t>
      </w:r>
    </w:p>
    <w:p>
      <w:pPr>
        <w:ind w:left="288" w:hanging="288"/>
      </w:pPr>
      <w:r>
        <w:t xml:space="preserve">1. </w:t>
      </w:r>
      <w:hyperlink r:id="rId9">
        <w:r>
          <w:rPr>
            <w:color w:val="24527A"/>
          </w:rPr>
          <w:t>Workers static assets routing</w:t>
        </w:r>
      </w:hyperlink>
    </w:p>
    <w:p>
      <w:pPr>
        <w:ind w:left="288" w:hanging="288"/>
      </w:pPr>
      <w:r>
        <w:t xml:space="preserve">2. </w:t>
      </w:r>
      <w:hyperlink r:id="rId10">
        <w:r>
          <w:rPr>
            <w:color w:val="24527A"/>
          </w:rPr>
          <w:t>D1 database transactions and Sessions API</w:t>
        </w:r>
      </w:hyperlink>
    </w:p>
    <w:p>
      <w:pPr>
        <w:ind w:left="288" w:hanging="288"/>
      </w:pPr>
      <w:r>
        <w:t xml:space="preserve">3. </w:t>
      </w:r>
      <w:hyperlink r:id="rId11">
        <w:r>
          <w:rPr>
            <w:color w:val="24527A"/>
          </w:rPr>
          <w:t>Workers Cron Triggers</w:t>
        </w:r>
      </w:hyperlink>
    </w:p>
    <w:p>
      <w:pPr>
        <w:ind w:left="288" w:hanging="288"/>
      </w:pPr>
      <w:r>
        <w:t xml:space="preserve">4. </w:t>
      </w:r>
      <w:hyperlink r:id="rId12">
        <w:r>
          <w:rPr>
            <w:color w:val="24527A"/>
          </w:rPr>
          <w:t>Queues delivery guarantees</w:t>
        </w:r>
      </w:hyperlink>
    </w:p>
    <w:p>
      <w:pPr>
        <w:ind w:left="288" w:hanging="288"/>
      </w:pPr>
      <w:r>
        <w:t xml:space="preserve">5. </w:t>
      </w:r>
      <w:hyperlink r:id="rId13">
        <w:r>
          <w:rPr>
            <w:color w:val="24527A"/>
          </w:rPr>
          <w:t>R2 private and public bucket behaviour</w:t>
        </w:r>
      </w:hyperlink>
    </w:p>
    <w:p>
      <w:pPr>
        <w:ind w:left="288" w:hanging="288"/>
      </w:pPr>
      <w:r>
        <w:t xml:space="preserve">6. </w:t>
      </w:r>
      <w:hyperlink r:id="rId14">
        <w:r>
          <w:rPr>
            <w:color w:val="24527A"/>
          </w:rPr>
          <w:t>Workers Vitest integration</w:t>
        </w:r>
      </w:hyperlink>
    </w:p>
    <w:sectPr w:rsidR="00FC693F" w:rsidRPr="0006063C" w:rsidSect="00034616">
      <w:footerReference w:type="default" r:id="rId15"/>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velopers.cloudflare.com/workers/static-assets/routing/worker-script/" TargetMode="External"/><Relationship Id="rId10" Type="http://schemas.openxmlformats.org/officeDocument/2006/relationships/hyperlink" Target="https://developers.cloudflare.com/d1/worker-api/d1-database/" TargetMode="External"/><Relationship Id="rId11" Type="http://schemas.openxmlformats.org/officeDocument/2006/relationships/hyperlink" Target="https://developers.cloudflare.com/workers/configuration/cron-triggers/" TargetMode="External"/><Relationship Id="rId12" Type="http://schemas.openxmlformats.org/officeDocument/2006/relationships/hyperlink" Target="https://developers.cloudflare.com/queues/reference/delivery-guarantees/" TargetMode="External"/><Relationship Id="rId13" Type="http://schemas.openxmlformats.org/officeDocument/2006/relationships/hyperlink" Target="https://developers.cloudflare.com/r2/buckets/public-buckets/" TargetMode="External"/><Relationship Id="rId14" Type="http://schemas.openxmlformats.org/officeDocument/2006/relationships/hyperlink" Target="https://developers.cloudflare.com/workers/testing/vitest-integration/"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 in Touch App System Specification</dc:title>
  <dc:subject>Semantic System model for Cloudflare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