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D711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A2B06C6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522A09F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43B064E2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36CC7D4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73A5B72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FE13FB7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B7E324B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3DC0DBD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E04990F" w14:textId="630E7C3B" w:rsidR="009A67BC" w:rsidRPr="00864DF9" w:rsidRDefault="00864DF9" w:rsidP="004B3870">
      <w:pPr>
        <w:spacing w:after="200" w:line="276" w:lineRule="auto"/>
        <w:jc w:val="center"/>
        <w:rPr>
          <w:b/>
          <w:lang w:val="es-CO"/>
        </w:rPr>
      </w:pPr>
      <w:r w:rsidRPr="00864DF9">
        <w:rPr>
          <w:b/>
          <w:lang w:val="es-CO"/>
        </w:rPr>
        <w:t>MANUAL DE USUARIO</w:t>
      </w:r>
    </w:p>
    <w:p w14:paraId="31709E68" w14:textId="31F480B4" w:rsidR="004B3870" w:rsidRPr="004B3870" w:rsidRDefault="00263F5B" w:rsidP="00864DF9">
      <w:pPr>
        <w:jc w:val="center"/>
        <w:rPr>
          <w:i/>
          <w:color w:val="0070C0"/>
          <w:lang w:val="es-CO"/>
        </w:rPr>
      </w:pPr>
      <w:r>
        <w:rPr>
          <w:rFonts w:asciiTheme="majorHAnsi" w:hAnsiTheme="majorHAnsi" w:cstheme="majorHAnsi"/>
          <w:b/>
          <w:i/>
          <w:sz w:val="28"/>
          <w:lang w:val="es-CO"/>
        </w:rPr>
        <w:t>Visualización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 xml:space="preserve"> de </w:t>
      </w:r>
      <w:r>
        <w:rPr>
          <w:rFonts w:asciiTheme="majorHAnsi" w:hAnsiTheme="majorHAnsi" w:cstheme="majorHAnsi"/>
          <w:b/>
          <w:i/>
          <w:sz w:val="28"/>
          <w:lang w:val="es-CO"/>
        </w:rPr>
        <w:t xml:space="preserve">documentos 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>de OCDS</w:t>
      </w:r>
    </w:p>
    <w:p w14:paraId="30F4443C" w14:textId="77777777" w:rsidR="004B3870" w:rsidRDefault="004B3870">
      <w:pPr>
        <w:spacing w:after="200" w:line="276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14:paraId="2350301C" w14:textId="77777777" w:rsidR="00864DF9" w:rsidRPr="00864DF9" w:rsidRDefault="00864DF9" w:rsidP="00864DF9">
      <w:pPr>
        <w:jc w:val="center"/>
        <w:rPr>
          <w:b/>
          <w:lang w:val="es-CO"/>
        </w:rPr>
      </w:pPr>
    </w:p>
    <w:p w14:paraId="4879B9F9" w14:textId="77777777" w:rsidR="00864DF9" w:rsidRDefault="00864DF9" w:rsidP="00864DF9">
      <w:pPr>
        <w:rPr>
          <w:lang w:val="es-CO"/>
        </w:rPr>
      </w:pPr>
    </w:p>
    <w:p w14:paraId="00E05629" w14:textId="77777777" w:rsidR="00864DF9" w:rsidRDefault="00864DF9" w:rsidP="00864DF9">
      <w:pPr>
        <w:rPr>
          <w:lang w:val="es-CO"/>
        </w:rPr>
      </w:pPr>
    </w:p>
    <w:p w14:paraId="3956080F" w14:textId="0FEFA475" w:rsidR="00864DF9" w:rsidRDefault="00864DF9" w:rsidP="00940F9B">
      <w:pPr>
        <w:pStyle w:val="Ttulo2"/>
        <w:rPr>
          <w:lang w:val="es-CO"/>
        </w:rPr>
      </w:pPr>
      <w:r w:rsidRPr="00864DF9">
        <w:rPr>
          <w:lang w:val="es-CO"/>
        </w:rPr>
        <w:t>Introducción</w:t>
      </w:r>
    </w:p>
    <w:p w14:paraId="7784E5C8" w14:textId="77777777" w:rsidR="00940F9B" w:rsidRPr="00940F9B" w:rsidRDefault="00940F9B" w:rsidP="00940F9B">
      <w:pPr>
        <w:rPr>
          <w:lang w:val="es-CO"/>
        </w:rPr>
      </w:pPr>
    </w:p>
    <w:p w14:paraId="4C040108" w14:textId="6DA48794" w:rsidR="0079118F" w:rsidRPr="00940F9B" w:rsidRDefault="0017783B" w:rsidP="00AD3119">
      <w:pPr>
        <w:jc w:val="both"/>
        <w:rPr>
          <w:i/>
          <w:color w:val="0070C0"/>
          <w:lang w:val="es-CO"/>
        </w:rPr>
      </w:pPr>
      <w:r>
        <w:rPr>
          <w:rFonts w:asciiTheme="majorHAnsi" w:hAnsiTheme="majorHAnsi" w:cstheme="majorHAnsi"/>
          <w:i/>
          <w:color w:val="0070C0"/>
          <w:lang w:val="es-CO"/>
        </w:rPr>
        <w:t xml:space="preserve">La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 xml:space="preserve">visualización 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proveer facilidad para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>ver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 los datos de SECOP1, SECOP2 y TVEC en formato OCDS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>, desde la Web</w:t>
      </w:r>
    </w:p>
    <w:p w14:paraId="266AD8F1" w14:textId="77777777" w:rsidR="00864DF9" w:rsidRDefault="00864DF9" w:rsidP="00940F9B">
      <w:pPr>
        <w:pStyle w:val="Ttulo2"/>
        <w:rPr>
          <w:lang w:val="es-CO"/>
        </w:rPr>
      </w:pPr>
      <w:r>
        <w:rPr>
          <w:lang w:val="es-CO"/>
        </w:rPr>
        <w:t>Ingreso al sistema</w:t>
      </w:r>
    </w:p>
    <w:p w14:paraId="6C11650C" w14:textId="77777777" w:rsidR="00864DF9" w:rsidRDefault="00864DF9" w:rsidP="00864DF9">
      <w:pPr>
        <w:rPr>
          <w:lang w:val="es-CO"/>
        </w:rPr>
      </w:pPr>
    </w:p>
    <w:p w14:paraId="730CBE3C" w14:textId="00C9691F" w:rsidR="00940F9B" w:rsidRDefault="0017783B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Para acceder a la API se debe escribir la URL: http://&lt;host&gt;:&lt;port&gt;/</w:t>
      </w:r>
      <w:r w:rsidR="00263F5B" w:rsidRPr="00263F5B">
        <w:t xml:space="preserve"> </w:t>
      </w:r>
      <w:r w:rsidR="00263F5B">
        <w:rPr>
          <w:i/>
          <w:color w:val="0070C0"/>
          <w:lang w:val="es-CO"/>
        </w:rPr>
        <w:t>&lt;</w:t>
      </w:r>
      <w:proofErr w:type="spellStart"/>
      <w:r w:rsidR="00263F5B">
        <w:rPr>
          <w:i/>
          <w:color w:val="0070C0"/>
          <w:lang w:val="es-CO"/>
        </w:rPr>
        <w:t>V</w:t>
      </w:r>
      <w:r w:rsidR="00263F5B" w:rsidRPr="00263F5B">
        <w:rPr>
          <w:i/>
          <w:color w:val="0070C0"/>
          <w:lang w:val="es-CO"/>
        </w:rPr>
        <w:t>isualizacionesOCDS</w:t>
      </w:r>
      <w:proofErr w:type="spellEnd"/>
      <w:r w:rsidR="00263F5B">
        <w:rPr>
          <w:i/>
          <w:color w:val="0070C0"/>
          <w:lang w:val="es-CO"/>
        </w:rPr>
        <w:t>&gt;</w:t>
      </w:r>
      <w:r w:rsidR="00263F5B" w:rsidRPr="00263F5B">
        <w:rPr>
          <w:i/>
          <w:color w:val="0070C0"/>
          <w:lang w:val="es-CO"/>
        </w:rPr>
        <w:t>/table/tableView.html</w:t>
      </w:r>
    </w:p>
    <w:p w14:paraId="387BE78D" w14:textId="046EEC5C" w:rsidR="00940F9B" w:rsidRDefault="00940F9B" w:rsidP="00940F9B">
      <w:pPr>
        <w:jc w:val="both"/>
        <w:rPr>
          <w:i/>
          <w:color w:val="0070C0"/>
          <w:lang w:val="es-CO"/>
        </w:rPr>
      </w:pPr>
    </w:p>
    <w:p w14:paraId="2E6E3A9F" w14:textId="76B0B557" w:rsidR="00940F9B" w:rsidRPr="00940F9B" w:rsidRDefault="00940F9B" w:rsidP="00940F9B">
      <w:pPr>
        <w:pStyle w:val="Ttulo2"/>
        <w:rPr>
          <w:lang w:val="es-CO"/>
        </w:rPr>
      </w:pPr>
      <w:r w:rsidRPr="00940F9B">
        <w:rPr>
          <w:lang w:val="es-CO"/>
        </w:rPr>
        <w:t>Descripción de usuarios</w:t>
      </w:r>
    </w:p>
    <w:p w14:paraId="08AEB2C3" w14:textId="6A94066B" w:rsidR="00473592" w:rsidRDefault="00473592" w:rsidP="00864DF9">
      <w:pPr>
        <w:rPr>
          <w:lang w:val="es-CO"/>
        </w:rPr>
      </w:pPr>
    </w:p>
    <w:p w14:paraId="3947E891" w14:textId="16B1D639" w:rsidR="004F6C3F" w:rsidRDefault="004F6C3F" w:rsidP="00940F9B">
      <w:pPr>
        <w:jc w:val="both"/>
        <w:rPr>
          <w:i/>
          <w:color w:val="0070C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617"/>
        <w:gridCol w:w="5368"/>
      </w:tblGrid>
      <w:tr w:rsidR="004F6C3F" w14:paraId="3870ACBE" w14:textId="77777777" w:rsidTr="00517970">
        <w:tc>
          <w:tcPr>
            <w:tcW w:w="1843" w:type="dxa"/>
          </w:tcPr>
          <w:p w14:paraId="57F12B04" w14:textId="13706C34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Funcionalidad</w:t>
            </w:r>
          </w:p>
        </w:tc>
        <w:tc>
          <w:tcPr>
            <w:tcW w:w="1617" w:type="dxa"/>
          </w:tcPr>
          <w:p w14:paraId="5A0C2DB7" w14:textId="0F20F612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Perfil</w:t>
            </w:r>
          </w:p>
        </w:tc>
        <w:tc>
          <w:tcPr>
            <w:tcW w:w="5368" w:type="dxa"/>
          </w:tcPr>
          <w:p w14:paraId="2042A996" w14:textId="06F8FF4E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Descripción del perfil</w:t>
            </w:r>
          </w:p>
        </w:tc>
      </w:tr>
      <w:tr w:rsidR="004F6C3F" w14:paraId="213DE6AB" w14:textId="77777777" w:rsidTr="00517970">
        <w:tc>
          <w:tcPr>
            <w:tcW w:w="1843" w:type="dxa"/>
          </w:tcPr>
          <w:p w14:paraId="31FEBE0D" w14:textId="34B5270F" w:rsidR="004F6C3F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Estado del proceso</w:t>
            </w:r>
          </w:p>
        </w:tc>
        <w:tc>
          <w:tcPr>
            <w:tcW w:w="1617" w:type="dxa"/>
          </w:tcPr>
          <w:p w14:paraId="14CDC71A" w14:textId="159C1B1A" w:rsidR="004F6C3F" w:rsidRPr="00263F5B" w:rsidRDefault="00263F5B" w:rsidP="00940F9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55BE3C6" w14:textId="3365AC18" w:rsidR="004F6C3F" w:rsidRPr="00263F5B" w:rsidRDefault="00263F5B" w:rsidP="00940F9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50A7D938" w14:textId="77777777" w:rsidTr="00517970">
        <w:tc>
          <w:tcPr>
            <w:tcW w:w="1843" w:type="dxa"/>
          </w:tcPr>
          <w:p w14:paraId="499A99A6" w14:textId="47406C8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Tipo de proceso de contratación</w:t>
            </w:r>
          </w:p>
        </w:tc>
        <w:tc>
          <w:tcPr>
            <w:tcW w:w="1617" w:type="dxa"/>
          </w:tcPr>
          <w:p w14:paraId="4B0548C6" w14:textId="6503EA9A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24C5BB1C" w14:textId="1420FBE5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0557FBA6" w14:textId="77777777" w:rsidTr="00517970">
        <w:tc>
          <w:tcPr>
            <w:tcW w:w="1843" w:type="dxa"/>
          </w:tcPr>
          <w:p w14:paraId="206446A4" w14:textId="0D916E2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Comprador</w:t>
            </w:r>
          </w:p>
        </w:tc>
        <w:tc>
          <w:tcPr>
            <w:tcW w:w="1617" w:type="dxa"/>
          </w:tcPr>
          <w:p w14:paraId="41F6D14D" w14:textId="624BF85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4C85B01" w14:textId="506C4B1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7744181F" w14:textId="77777777" w:rsidTr="00517970">
        <w:tc>
          <w:tcPr>
            <w:tcW w:w="1843" w:type="dxa"/>
          </w:tcPr>
          <w:p w14:paraId="53B45BD9" w14:textId="1F3AF36F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Etiqueta</w:t>
            </w:r>
          </w:p>
        </w:tc>
        <w:tc>
          <w:tcPr>
            <w:tcW w:w="1617" w:type="dxa"/>
          </w:tcPr>
          <w:p w14:paraId="49346CD9" w14:textId="178274F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7B409293" w14:textId="658AB05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4655AADD" w14:textId="77777777" w:rsidTr="00517970">
        <w:tc>
          <w:tcPr>
            <w:tcW w:w="1843" w:type="dxa"/>
          </w:tcPr>
          <w:p w14:paraId="42BE71E6" w14:textId="353EDA1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Forma de participación</w:t>
            </w:r>
          </w:p>
        </w:tc>
        <w:tc>
          <w:tcPr>
            <w:tcW w:w="1617" w:type="dxa"/>
          </w:tcPr>
          <w:p w14:paraId="1F246417" w14:textId="02CD5E3B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52209089" w14:textId="149AD4EB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14F717FA" w14:textId="77777777" w:rsidTr="00517970">
        <w:tc>
          <w:tcPr>
            <w:tcW w:w="1843" w:type="dxa"/>
          </w:tcPr>
          <w:p w14:paraId="0894F44B" w14:textId="57624DE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Descargar resultados en formato CVS</w:t>
            </w:r>
          </w:p>
        </w:tc>
        <w:tc>
          <w:tcPr>
            <w:tcW w:w="1617" w:type="dxa"/>
          </w:tcPr>
          <w:p w14:paraId="556C9C5D" w14:textId="03757967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42B781B0" w14:textId="0C0FA91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  <w:r w:rsidRPr="00263F5B">
              <w:rPr>
                <w:i/>
                <w:color w:val="0070C0"/>
                <w:lang w:val="es-CO"/>
              </w:rPr>
              <w:t xml:space="preserve"> y descargarlos en formato CSV para visualizarlos en Excel</w:t>
            </w:r>
          </w:p>
        </w:tc>
      </w:tr>
    </w:tbl>
    <w:p w14:paraId="3F74107D" w14:textId="77777777" w:rsidR="004F6C3F" w:rsidRPr="004F6C3F" w:rsidRDefault="004F6C3F" w:rsidP="00940F9B">
      <w:pPr>
        <w:jc w:val="both"/>
        <w:rPr>
          <w:lang w:val="es-CO"/>
        </w:rPr>
      </w:pPr>
    </w:p>
    <w:p w14:paraId="310C9C63" w14:textId="535878C9" w:rsidR="00864DF9" w:rsidRDefault="00940F9B" w:rsidP="00940F9B">
      <w:pPr>
        <w:pStyle w:val="Ttulo2"/>
        <w:rPr>
          <w:lang w:val="es-CO"/>
        </w:rPr>
      </w:pPr>
      <w:r>
        <w:rPr>
          <w:lang w:val="es-CO"/>
        </w:rPr>
        <w:t>Descripción de las funcionalidades</w:t>
      </w:r>
    </w:p>
    <w:p w14:paraId="27F78635" w14:textId="2C4DF177" w:rsidR="00940F9B" w:rsidRDefault="00940F9B" w:rsidP="00940F9B">
      <w:pPr>
        <w:rPr>
          <w:lang w:val="es-CO"/>
        </w:rPr>
      </w:pPr>
    </w:p>
    <w:p w14:paraId="2AF8E099" w14:textId="09411718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</w:t>
      </w:r>
      <w:r w:rsidRPr="00263F5B">
        <w:rPr>
          <w:i/>
          <w:color w:val="0070C0"/>
          <w:lang w:val="es-CO"/>
        </w:rPr>
        <w:t>búsqueda</w:t>
      </w:r>
      <w:r w:rsidRPr="00263F5B">
        <w:rPr>
          <w:i/>
          <w:color w:val="0070C0"/>
          <w:lang w:val="es-CO"/>
        </w:rPr>
        <w:t xml:space="preserve"> por Estado del proceso</w:t>
      </w:r>
      <w:r w:rsidRPr="00263F5B">
        <w:rPr>
          <w:i/>
          <w:color w:val="0070C0"/>
          <w:lang w:val="es-CO"/>
        </w:rPr>
        <w:t>: Permite consultar los procesos de contratación que se encuentren en el estado del proceso indicado por el usuario.</w:t>
      </w:r>
    </w:p>
    <w:p w14:paraId="28CD1BF5" w14:textId="24552568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</w:t>
      </w:r>
      <w:r w:rsidRPr="00263F5B">
        <w:rPr>
          <w:i/>
          <w:color w:val="0070C0"/>
          <w:lang w:val="es-CO"/>
        </w:rPr>
        <w:t>búsqueda</w:t>
      </w:r>
      <w:r w:rsidRPr="00263F5B">
        <w:rPr>
          <w:i/>
          <w:color w:val="0070C0"/>
          <w:lang w:val="es-CO"/>
        </w:rPr>
        <w:t xml:space="preserve"> por Tipo de proceso de contratación: Permite consultar los procesos de contratación que </w:t>
      </w:r>
      <w:r w:rsidRPr="00263F5B">
        <w:rPr>
          <w:i/>
          <w:color w:val="0070C0"/>
          <w:lang w:val="es-CO"/>
        </w:rPr>
        <w:t>sean del tipo</w:t>
      </w:r>
      <w:r w:rsidRPr="00263F5B">
        <w:rPr>
          <w:i/>
          <w:color w:val="0070C0"/>
          <w:lang w:val="es-CO"/>
        </w:rPr>
        <w:t xml:space="preserve"> indicado por el usuario.</w:t>
      </w:r>
      <w:r w:rsidRPr="00263F5B">
        <w:rPr>
          <w:i/>
          <w:color w:val="0070C0"/>
          <w:lang w:val="es-CO"/>
        </w:rPr>
        <w:t xml:space="preserve"> </w:t>
      </w:r>
    </w:p>
    <w:p w14:paraId="5FB65FB1" w14:textId="7736A502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</w:t>
      </w:r>
      <w:r w:rsidRPr="00263F5B">
        <w:rPr>
          <w:i/>
          <w:color w:val="0070C0"/>
          <w:lang w:val="es-CO"/>
        </w:rPr>
        <w:t>búsqueda</w:t>
      </w:r>
      <w:r w:rsidRPr="00263F5B">
        <w:rPr>
          <w:i/>
          <w:color w:val="0070C0"/>
          <w:lang w:val="es-CO"/>
        </w:rPr>
        <w:t xml:space="preserve"> por Comprador: Permite consultar los procesos de contratación que se encuentren </w:t>
      </w:r>
      <w:r w:rsidRPr="00263F5B">
        <w:rPr>
          <w:i/>
          <w:color w:val="0070C0"/>
          <w:lang w:val="es-CO"/>
        </w:rPr>
        <w:t xml:space="preserve">asociados al NIT y/o nombre de la entidad </w:t>
      </w:r>
      <w:r w:rsidRPr="00263F5B">
        <w:rPr>
          <w:i/>
          <w:color w:val="0070C0"/>
          <w:lang w:val="es-CO"/>
        </w:rPr>
        <w:t>indicad</w:t>
      </w:r>
      <w:r w:rsidRPr="00263F5B">
        <w:rPr>
          <w:i/>
          <w:color w:val="0070C0"/>
          <w:lang w:val="es-CO"/>
        </w:rPr>
        <w:t>a</w:t>
      </w:r>
      <w:r w:rsidRPr="00263F5B">
        <w:rPr>
          <w:i/>
          <w:color w:val="0070C0"/>
          <w:lang w:val="es-CO"/>
        </w:rPr>
        <w:t xml:space="preserve"> por el usuario.</w:t>
      </w:r>
      <w:r w:rsidRPr="00263F5B">
        <w:rPr>
          <w:i/>
          <w:color w:val="0070C0"/>
          <w:lang w:val="es-CO"/>
        </w:rPr>
        <w:t xml:space="preserve"> </w:t>
      </w:r>
    </w:p>
    <w:p w14:paraId="7281F365" w14:textId="25ED7816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</w:t>
      </w:r>
      <w:r w:rsidRPr="00263F5B">
        <w:rPr>
          <w:i/>
          <w:color w:val="0070C0"/>
          <w:lang w:val="es-CO"/>
        </w:rPr>
        <w:t>búsqueda</w:t>
      </w:r>
      <w:r w:rsidRPr="00263F5B">
        <w:rPr>
          <w:i/>
          <w:color w:val="0070C0"/>
          <w:lang w:val="es-CO"/>
        </w:rPr>
        <w:t xml:space="preserve"> por Etiqueta: Permite consultar los procesos de contratación que se encuentren </w:t>
      </w:r>
      <w:r w:rsidRPr="00263F5B">
        <w:rPr>
          <w:i/>
          <w:color w:val="0070C0"/>
          <w:lang w:val="es-CO"/>
        </w:rPr>
        <w:t>con la etiqueta</w:t>
      </w:r>
      <w:r w:rsidRPr="00263F5B">
        <w:rPr>
          <w:i/>
          <w:color w:val="0070C0"/>
          <w:lang w:val="es-CO"/>
        </w:rPr>
        <w:t xml:space="preserve"> indicad</w:t>
      </w:r>
      <w:r w:rsidRPr="00263F5B">
        <w:rPr>
          <w:i/>
          <w:color w:val="0070C0"/>
          <w:lang w:val="es-CO"/>
        </w:rPr>
        <w:t>a</w:t>
      </w:r>
      <w:r w:rsidRPr="00263F5B">
        <w:rPr>
          <w:i/>
          <w:color w:val="0070C0"/>
          <w:lang w:val="es-CO"/>
        </w:rPr>
        <w:t xml:space="preserve"> por el usuario.</w:t>
      </w:r>
      <w:r w:rsidRPr="00263F5B">
        <w:rPr>
          <w:i/>
          <w:color w:val="0070C0"/>
          <w:lang w:val="es-CO"/>
        </w:rPr>
        <w:t xml:space="preserve"> </w:t>
      </w:r>
    </w:p>
    <w:p w14:paraId="7E6371AF" w14:textId="24715FA2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</w:t>
      </w:r>
      <w:r w:rsidRPr="00263F5B">
        <w:rPr>
          <w:i/>
          <w:color w:val="0070C0"/>
          <w:lang w:val="es-CO"/>
        </w:rPr>
        <w:t>búsqueda</w:t>
      </w:r>
      <w:r w:rsidRPr="00263F5B">
        <w:rPr>
          <w:i/>
          <w:color w:val="0070C0"/>
          <w:lang w:val="es-CO"/>
        </w:rPr>
        <w:t xml:space="preserve"> por Forma de participación: Permite consultar los procesos de contratación que se encuentren </w:t>
      </w:r>
      <w:r w:rsidRPr="00263F5B">
        <w:rPr>
          <w:i/>
          <w:color w:val="0070C0"/>
          <w:lang w:val="es-CO"/>
        </w:rPr>
        <w:t>con la forma de participación</w:t>
      </w:r>
      <w:r w:rsidRPr="00263F5B">
        <w:rPr>
          <w:i/>
          <w:color w:val="0070C0"/>
          <w:lang w:val="es-CO"/>
        </w:rPr>
        <w:t xml:space="preserve"> indicad</w:t>
      </w:r>
      <w:r w:rsidRPr="00263F5B">
        <w:rPr>
          <w:i/>
          <w:color w:val="0070C0"/>
          <w:lang w:val="es-CO"/>
        </w:rPr>
        <w:t>a</w:t>
      </w:r>
      <w:r w:rsidRPr="00263F5B">
        <w:rPr>
          <w:i/>
          <w:color w:val="0070C0"/>
          <w:lang w:val="es-CO"/>
        </w:rPr>
        <w:t xml:space="preserve"> por el usuario.</w:t>
      </w:r>
    </w:p>
    <w:p w14:paraId="7F70E85B" w14:textId="3D977AF7" w:rsidR="00EC31DA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Descargar resultados en formato CVS: Permite </w:t>
      </w:r>
      <w:r w:rsidRPr="00263F5B">
        <w:rPr>
          <w:i/>
          <w:color w:val="0070C0"/>
          <w:lang w:val="es-CO"/>
        </w:rPr>
        <w:t>descargar</w:t>
      </w:r>
      <w:r w:rsidRPr="00263F5B">
        <w:rPr>
          <w:i/>
          <w:color w:val="0070C0"/>
          <w:lang w:val="es-CO"/>
        </w:rPr>
        <w:t xml:space="preserve"> los procesos de contratación que se encuentre</w:t>
      </w:r>
      <w:r w:rsidRPr="00263F5B">
        <w:rPr>
          <w:i/>
          <w:color w:val="0070C0"/>
          <w:lang w:val="es-CO"/>
        </w:rPr>
        <w:t xml:space="preserve"> visualizando el usuario en formato CSV</w:t>
      </w:r>
      <w:r w:rsidRPr="00263F5B">
        <w:rPr>
          <w:i/>
          <w:color w:val="0070C0"/>
          <w:lang w:val="es-CO"/>
        </w:rPr>
        <w:t>.</w:t>
      </w:r>
    </w:p>
    <w:p w14:paraId="5AF29D47" w14:textId="77777777" w:rsidR="004F6C3F" w:rsidRDefault="004F6C3F" w:rsidP="00940F9B">
      <w:pPr>
        <w:jc w:val="both"/>
        <w:rPr>
          <w:i/>
          <w:color w:val="0070C0"/>
          <w:lang w:val="es-CO"/>
        </w:rPr>
      </w:pPr>
    </w:p>
    <w:p w14:paraId="539ACF20" w14:textId="4C0E079F" w:rsidR="005A0C2A" w:rsidRPr="005A0C2A" w:rsidRDefault="005A0C2A" w:rsidP="005A0C2A">
      <w:pPr>
        <w:pStyle w:val="Ttulo2"/>
        <w:rPr>
          <w:lang w:val="es-CO"/>
        </w:rPr>
      </w:pPr>
      <w:r>
        <w:rPr>
          <w:lang w:val="es-CO"/>
        </w:rPr>
        <w:t>Información para el soporte</w:t>
      </w:r>
    </w:p>
    <w:p w14:paraId="0FE26E76" w14:textId="77777777" w:rsidR="00940F9B" w:rsidRPr="00940F9B" w:rsidRDefault="00940F9B" w:rsidP="00940F9B">
      <w:pPr>
        <w:jc w:val="both"/>
        <w:rPr>
          <w:i/>
          <w:color w:val="0070C0"/>
          <w:lang w:val="es-CO"/>
        </w:rPr>
      </w:pPr>
    </w:p>
    <w:p w14:paraId="1BCB353D" w14:textId="3BAE83DE" w:rsidR="008C691D" w:rsidRDefault="00263F5B" w:rsidP="005A0C2A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Solo se permite descargar la información de una página de consulta, debido a que por tamaño de los archivos y/o de los resultados el procesamiento completo puede bloquear el servicio del cliente y/o del servidor en caso de mucha concurrencia</w:t>
      </w:r>
      <w:r w:rsidR="008C691D">
        <w:rPr>
          <w:i/>
          <w:color w:val="0070C0"/>
          <w:lang w:val="es-CO"/>
        </w:rPr>
        <w:t>.</w:t>
      </w:r>
      <w:bookmarkStart w:id="0" w:name="_GoBack"/>
      <w:bookmarkEnd w:id="0"/>
    </w:p>
    <w:p w14:paraId="4BD8489F" w14:textId="57F55A50" w:rsidR="00864DF9" w:rsidRDefault="00864DF9" w:rsidP="00864DF9">
      <w:pPr>
        <w:rPr>
          <w:lang w:val="es-CO"/>
        </w:rPr>
      </w:pPr>
    </w:p>
    <w:sectPr w:rsidR="00864DF9" w:rsidSect="003402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38BC3" w14:textId="77777777" w:rsidR="00576592" w:rsidRDefault="00576592" w:rsidP="004F2C35">
      <w:r>
        <w:separator/>
      </w:r>
    </w:p>
  </w:endnote>
  <w:endnote w:type="continuationSeparator" w:id="0">
    <w:p w14:paraId="49E12726" w14:textId="77777777" w:rsidR="00576592" w:rsidRDefault="00576592" w:rsidP="004F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E8E" w14:textId="77777777" w:rsidR="00C50D27" w:rsidRDefault="00C50D27">
    <w:pPr>
      <w:pStyle w:val="Piedepgina"/>
      <w:jc w:val="right"/>
    </w:pPr>
  </w:p>
  <w:p w14:paraId="28620583" w14:textId="77777777" w:rsidR="004F2C35" w:rsidRPr="00C50D27" w:rsidRDefault="00F532BF" w:rsidP="00C50D27">
    <w:pPr>
      <w:pStyle w:val="Piedepgina"/>
    </w:pPr>
    <w:r>
      <w:rPr>
        <w:noProof/>
        <w:lang w:val="es-CO" w:eastAsia="es-CO"/>
      </w:rPr>
      <w:drawing>
        <wp:inline distT="0" distB="0" distL="0" distR="0" wp14:anchorId="393CF4D7" wp14:editId="7289B006">
          <wp:extent cx="5612130" cy="791845"/>
          <wp:effectExtent l="0" t="0" r="7620" b="8255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erre_Documento_CC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DEEF" w14:textId="77777777" w:rsidR="009A67BC" w:rsidRDefault="009A67BC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72EEF92D" wp14:editId="54DA2B02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719E4" w14:textId="77777777" w:rsidR="009A67BC" w:rsidRPr="009A67BC" w:rsidRDefault="009A67BC" w:rsidP="009A67BC">
    <w:pPr>
      <w:pStyle w:val="Piedepgina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50B0C8B6" wp14:editId="2910D7EB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5BAD" w14:textId="77777777" w:rsidR="00576592" w:rsidRDefault="00576592" w:rsidP="004F2C35">
      <w:r>
        <w:separator/>
      </w:r>
    </w:p>
  </w:footnote>
  <w:footnote w:type="continuationSeparator" w:id="0">
    <w:p w14:paraId="75115047" w14:textId="77777777" w:rsidR="00576592" w:rsidRDefault="00576592" w:rsidP="004F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2521" w14:textId="77777777" w:rsidR="006D761F" w:rsidRDefault="004F2C35" w:rsidP="006D761F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09D4D6DA" wp14:editId="45431301">
          <wp:extent cx="1500803" cy="616644"/>
          <wp:effectExtent l="0" t="0" r="444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2E70E12" w14:textId="77777777" w:rsidR="006D761F" w:rsidRPr="006D761F" w:rsidRDefault="006D761F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DE7" w14:textId="77777777" w:rsidR="00B30435" w:rsidRDefault="00B30435" w:rsidP="00B30435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2732C0CE" wp14:editId="611B6498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0461EDA" w14:textId="77777777" w:rsidR="00B30435" w:rsidRPr="006D761F" w:rsidRDefault="00B30435" w:rsidP="00B30435">
    <w:pPr>
      <w:pStyle w:val="Ttulo1"/>
      <w:rPr>
        <w:szCs w:val="24"/>
      </w:rPr>
    </w:pPr>
    <w:r w:rsidRPr="006D761F">
      <w:rPr>
        <w:szCs w:val="24"/>
      </w:rPr>
      <w:t>TÍTULO DEL DOCUMENTO</w:t>
    </w:r>
  </w:p>
  <w:p w14:paraId="3D1A530F" w14:textId="77777777" w:rsidR="00B30435" w:rsidRPr="00B30435" w:rsidRDefault="00B30435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0E6"/>
    <w:multiLevelType w:val="hybridMultilevel"/>
    <w:tmpl w:val="459CF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264"/>
    <w:multiLevelType w:val="hybridMultilevel"/>
    <w:tmpl w:val="D5E8B2E2"/>
    <w:lvl w:ilvl="0" w:tplc="A82C18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01E2"/>
    <w:multiLevelType w:val="hybridMultilevel"/>
    <w:tmpl w:val="A684C5F8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8941E1"/>
    <w:multiLevelType w:val="hybridMultilevel"/>
    <w:tmpl w:val="3244E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0B34E8B"/>
    <w:multiLevelType w:val="hybridMultilevel"/>
    <w:tmpl w:val="EC6461B0"/>
    <w:lvl w:ilvl="0" w:tplc="E0FEEE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032D3"/>
    <w:multiLevelType w:val="hybridMultilevel"/>
    <w:tmpl w:val="F018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2BE1"/>
    <w:multiLevelType w:val="hybridMultilevel"/>
    <w:tmpl w:val="F76ED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A53A7"/>
    <w:multiLevelType w:val="hybridMultilevel"/>
    <w:tmpl w:val="23442B0E"/>
    <w:lvl w:ilvl="0" w:tplc="D1146778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F9"/>
    <w:rsid w:val="000438E2"/>
    <w:rsid w:val="00091E6B"/>
    <w:rsid w:val="000D7CD2"/>
    <w:rsid w:val="0014591D"/>
    <w:rsid w:val="00154ECB"/>
    <w:rsid w:val="0017783B"/>
    <w:rsid w:val="00181D75"/>
    <w:rsid w:val="001A1B68"/>
    <w:rsid w:val="001A5E22"/>
    <w:rsid w:val="001C6359"/>
    <w:rsid w:val="001C75B3"/>
    <w:rsid w:val="001D32CE"/>
    <w:rsid w:val="001D7612"/>
    <w:rsid w:val="001F7199"/>
    <w:rsid w:val="002535A9"/>
    <w:rsid w:val="00263F5B"/>
    <w:rsid w:val="002907F4"/>
    <w:rsid w:val="00305CEF"/>
    <w:rsid w:val="0034024E"/>
    <w:rsid w:val="003E173E"/>
    <w:rsid w:val="00473592"/>
    <w:rsid w:val="00474EDE"/>
    <w:rsid w:val="004B1B0F"/>
    <w:rsid w:val="004B3870"/>
    <w:rsid w:val="004C4CB8"/>
    <w:rsid w:val="004D7480"/>
    <w:rsid w:val="004F2C35"/>
    <w:rsid w:val="004F6C3F"/>
    <w:rsid w:val="00517970"/>
    <w:rsid w:val="005225E0"/>
    <w:rsid w:val="00576592"/>
    <w:rsid w:val="0059060F"/>
    <w:rsid w:val="005A0C2A"/>
    <w:rsid w:val="005A1943"/>
    <w:rsid w:val="0065617D"/>
    <w:rsid w:val="006A63AE"/>
    <w:rsid w:val="006D761F"/>
    <w:rsid w:val="00705E22"/>
    <w:rsid w:val="007212F3"/>
    <w:rsid w:val="00751787"/>
    <w:rsid w:val="0079118F"/>
    <w:rsid w:val="007B662D"/>
    <w:rsid w:val="007C1BAD"/>
    <w:rsid w:val="00815A88"/>
    <w:rsid w:val="00864DF9"/>
    <w:rsid w:val="00880720"/>
    <w:rsid w:val="008A1A6F"/>
    <w:rsid w:val="008A71EC"/>
    <w:rsid w:val="008C691D"/>
    <w:rsid w:val="00940F9B"/>
    <w:rsid w:val="009A67BC"/>
    <w:rsid w:val="009B26E4"/>
    <w:rsid w:val="00A06874"/>
    <w:rsid w:val="00A34836"/>
    <w:rsid w:val="00A6038F"/>
    <w:rsid w:val="00AD3119"/>
    <w:rsid w:val="00AF1737"/>
    <w:rsid w:val="00B11CD8"/>
    <w:rsid w:val="00B30435"/>
    <w:rsid w:val="00B946CB"/>
    <w:rsid w:val="00BB0D04"/>
    <w:rsid w:val="00C2579D"/>
    <w:rsid w:val="00C50D27"/>
    <w:rsid w:val="00C81483"/>
    <w:rsid w:val="00D67F6F"/>
    <w:rsid w:val="00E66CC3"/>
    <w:rsid w:val="00EB47F3"/>
    <w:rsid w:val="00EC31DA"/>
    <w:rsid w:val="00F311BA"/>
    <w:rsid w:val="00F532BF"/>
    <w:rsid w:val="00F53DA5"/>
    <w:rsid w:val="00F56D6D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87F3"/>
  <w15:chartTrackingRefBased/>
  <w15:docId w15:val="{F628B402-EC19-40AE-A0E2-71DA7F2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874"/>
    <w:pPr>
      <w:spacing w:after="0" w:line="240" w:lineRule="auto"/>
    </w:pPr>
    <w:rPr>
      <w:sz w:val="24"/>
      <w:lang w:val="es-MX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2"/>
      </w:numPr>
      <w:spacing w:after="300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6874"/>
    <w:rPr>
      <w:color w:val="0078AE" w:themeColor="hyperlink"/>
      <w:u w:val="single"/>
    </w:rPr>
  </w:style>
  <w:style w:type="paragraph" w:customStyle="1" w:styleId="paragraph">
    <w:name w:val="paragraph"/>
    <w:basedOn w:val="Normal"/>
    <w:rsid w:val="000D7CD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0D7CD2"/>
  </w:style>
  <w:style w:type="character" w:customStyle="1" w:styleId="eop">
    <w:name w:val="eop"/>
    <w:basedOn w:val="Fuentedeprrafopredeter"/>
    <w:rsid w:val="000D7CD2"/>
  </w:style>
  <w:style w:type="character" w:customStyle="1" w:styleId="contextualspellingandgrammarerror">
    <w:name w:val="contextualspellingandgrammarerror"/>
    <w:basedOn w:val="Fuentedeprrafopredeter"/>
    <w:rsid w:val="000D7CD2"/>
  </w:style>
  <w:style w:type="character" w:styleId="Mencinsinresolver">
    <w:name w:val="Unresolved Mention"/>
    <w:basedOn w:val="Fuentedeprrafopredeter"/>
    <w:uiPriority w:val="99"/>
    <w:semiHidden/>
    <w:unhideWhenUsed/>
    <w:rsid w:val="00473592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31D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31DA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C31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B60CA1277CFD4FA2632B0DB4BCE374" ma:contentTypeVersion="4" ma:contentTypeDescription="Crear nuevo documento." ma:contentTypeScope="" ma:versionID="2b756a7860473eaccc9d08ffeb883877">
  <xsd:schema xmlns:xsd="http://www.w3.org/2001/XMLSchema" xmlns:xs="http://www.w3.org/2001/XMLSchema" xmlns:p="http://schemas.microsoft.com/office/2006/metadata/properties" xmlns:ns2="697c4dee-e7ec-4d95-9444-4931b2058c5c" xmlns:ns3="b63347c1-563f-4ad8-9552-b21c690a4cfc" targetNamespace="http://schemas.microsoft.com/office/2006/metadata/properties" ma:root="true" ma:fieldsID="0f0fb0566a0a81e8d0ef3db5b6fa3f9d" ns2:_="" ns3:_="">
    <xsd:import namespace="697c4dee-e7ec-4d95-9444-4931b2058c5c"/>
    <xsd:import namespace="b63347c1-563f-4ad8-9552-b21c690a4c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4dee-e7ec-4d95-9444-4931b2058c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47c1-563f-4ad8-9552-b21c690a4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085F-0DC0-4839-9041-B79AB90E0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12871A-D8ED-4C4E-AA6F-8CAABE100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DB41D-9AAA-4BE0-835B-7A4CFEBE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4dee-e7ec-4d95-9444-4931b2058c5c"/>
    <ds:schemaRef ds:uri="b63347c1-563f-4ad8-9552-b21c690a4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3D14FE-CCA2-4E4A-8808-DF48F0AE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Caballero Andrade</dc:creator>
  <cp:keywords/>
  <dc:description/>
  <cp:lastModifiedBy>Saulo David Daza Sierra</cp:lastModifiedBy>
  <cp:revision>13</cp:revision>
  <cp:lastPrinted>2017-09-28T22:28:00Z</cp:lastPrinted>
  <dcterms:created xsi:type="dcterms:W3CDTF">2018-03-05T19:59:00Z</dcterms:created>
  <dcterms:modified xsi:type="dcterms:W3CDTF">2018-12-24T16:24:00Z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0x010100BFB60CA1277CFD4FA2632B0DB4BCE374</vt:lpwstr>
  </property>
</Properties>
</file>