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D711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A2B06C6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522A09F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43B064E2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36CC7D4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73A5B72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FE13FB7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B7E324B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3DC0DBD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E04990F" w14:textId="630E7C3B" w:rsidR="009A67BC" w:rsidRPr="00864DF9" w:rsidRDefault="00864DF9" w:rsidP="004B3870">
      <w:pPr>
        <w:spacing w:after="200" w:line="276" w:lineRule="auto"/>
        <w:jc w:val="center"/>
        <w:rPr>
          <w:b/>
          <w:lang w:val="es-CO"/>
        </w:rPr>
      </w:pPr>
      <w:r w:rsidRPr="00864DF9">
        <w:rPr>
          <w:b/>
          <w:lang w:val="es-CO"/>
        </w:rPr>
        <w:t>MANUAL DE USUARIO</w:t>
      </w:r>
    </w:p>
    <w:p w14:paraId="31709E68" w14:textId="31F480B4" w:rsidR="004B3870" w:rsidRPr="004B3870" w:rsidRDefault="00263F5B" w:rsidP="00864DF9">
      <w:pPr>
        <w:jc w:val="center"/>
        <w:rPr>
          <w:i/>
          <w:color w:val="0070C0"/>
          <w:lang w:val="es-CO"/>
        </w:rPr>
      </w:pPr>
      <w:r>
        <w:rPr>
          <w:rFonts w:asciiTheme="majorHAnsi" w:hAnsiTheme="majorHAnsi" w:cstheme="majorHAnsi"/>
          <w:b/>
          <w:i/>
          <w:sz w:val="28"/>
          <w:lang w:val="es-CO"/>
        </w:rPr>
        <w:t>Visualización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 xml:space="preserve"> de </w:t>
      </w:r>
      <w:r>
        <w:rPr>
          <w:rFonts w:asciiTheme="majorHAnsi" w:hAnsiTheme="majorHAnsi" w:cstheme="majorHAnsi"/>
          <w:b/>
          <w:i/>
          <w:sz w:val="28"/>
          <w:lang w:val="es-CO"/>
        </w:rPr>
        <w:t xml:space="preserve">documentos 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>de OCDS</w:t>
      </w:r>
    </w:p>
    <w:p w14:paraId="30F4443C" w14:textId="77777777" w:rsidR="004B3870" w:rsidRDefault="004B3870">
      <w:pPr>
        <w:spacing w:after="200" w:line="276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14:paraId="2350301C" w14:textId="77777777" w:rsidR="00864DF9" w:rsidRPr="00864DF9" w:rsidRDefault="00864DF9" w:rsidP="00864DF9">
      <w:pPr>
        <w:jc w:val="center"/>
        <w:rPr>
          <w:b/>
          <w:lang w:val="es-CO"/>
        </w:rPr>
      </w:pPr>
    </w:p>
    <w:p w14:paraId="4879B9F9" w14:textId="77777777" w:rsidR="00864DF9" w:rsidRDefault="00864DF9" w:rsidP="00864DF9">
      <w:pPr>
        <w:rPr>
          <w:lang w:val="es-CO"/>
        </w:rPr>
      </w:pPr>
    </w:p>
    <w:p w14:paraId="00E05629" w14:textId="77777777" w:rsidR="00864DF9" w:rsidRDefault="00864DF9" w:rsidP="00864DF9">
      <w:pPr>
        <w:rPr>
          <w:lang w:val="es-CO"/>
        </w:rPr>
      </w:pPr>
    </w:p>
    <w:p w14:paraId="3956080F" w14:textId="0FEFA475" w:rsidR="00864DF9" w:rsidRDefault="00864DF9" w:rsidP="00940F9B">
      <w:pPr>
        <w:pStyle w:val="Ttulo2"/>
        <w:rPr>
          <w:lang w:val="es-CO"/>
        </w:rPr>
      </w:pPr>
      <w:r w:rsidRPr="00864DF9">
        <w:rPr>
          <w:lang w:val="es-CO"/>
        </w:rPr>
        <w:t>Introducción</w:t>
      </w:r>
    </w:p>
    <w:p w14:paraId="7784E5C8" w14:textId="77777777" w:rsidR="00940F9B" w:rsidRPr="00940F9B" w:rsidRDefault="00940F9B" w:rsidP="00940F9B">
      <w:pPr>
        <w:rPr>
          <w:lang w:val="es-CO"/>
        </w:rPr>
      </w:pPr>
    </w:p>
    <w:p w14:paraId="4C040108" w14:textId="6DA48794" w:rsidR="0079118F" w:rsidRPr="00940F9B" w:rsidRDefault="0017783B" w:rsidP="00AD3119">
      <w:pPr>
        <w:jc w:val="both"/>
        <w:rPr>
          <w:i/>
          <w:color w:val="0070C0"/>
          <w:lang w:val="es-CO"/>
        </w:rPr>
      </w:pPr>
      <w:r>
        <w:rPr>
          <w:rFonts w:asciiTheme="majorHAnsi" w:hAnsiTheme="majorHAnsi" w:cstheme="majorHAnsi"/>
          <w:i/>
          <w:color w:val="0070C0"/>
          <w:lang w:val="es-CO"/>
        </w:rPr>
        <w:t xml:space="preserve">La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 xml:space="preserve">visualización 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proveer facilidad para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>ver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 los datos de SECOP1, SECOP2 y TVEC en formato OCDS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>, desde la Web</w:t>
      </w:r>
    </w:p>
    <w:p w14:paraId="266AD8F1" w14:textId="77777777" w:rsidR="00864DF9" w:rsidRDefault="00864DF9" w:rsidP="00940F9B">
      <w:pPr>
        <w:pStyle w:val="Ttulo2"/>
        <w:rPr>
          <w:lang w:val="es-CO"/>
        </w:rPr>
      </w:pPr>
      <w:r>
        <w:rPr>
          <w:lang w:val="es-CO"/>
        </w:rPr>
        <w:t>Ingreso al sistema</w:t>
      </w:r>
    </w:p>
    <w:p w14:paraId="6C11650C" w14:textId="77777777" w:rsidR="00864DF9" w:rsidRDefault="00864DF9" w:rsidP="00864DF9">
      <w:pPr>
        <w:rPr>
          <w:lang w:val="es-CO"/>
        </w:rPr>
      </w:pPr>
    </w:p>
    <w:p w14:paraId="730CBE3C" w14:textId="00C9691F" w:rsidR="00940F9B" w:rsidRDefault="0017783B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Para acceder a la API se debe escribir la URL: http://&lt;host&gt;:&lt;port&gt;/</w:t>
      </w:r>
      <w:r w:rsidR="00263F5B" w:rsidRPr="00263F5B">
        <w:t xml:space="preserve"> </w:t>
      </w:r>
      <w:r w:rsidR="00263F5B">
        <w:rPr>
          <w:i/>
          <w:color w:val="0070C0"/>
          <w:lang w:val="es-CO"/>
        </w:rPr>
        <w:t>&lt;</w:t>
      </w:r>
      <w:proofErr w:type="spellStart"/>
      <w:r w:rsidR="00263F5B">
        <w:rPr>
          <w:i/>
          <w:color w:val="0070C0"/>
          <w:lang w:val="es-CO"/>
        </w:rPr>
        <w:t>V</w:t>
      </w:r>
      <w:r w:rsidR="00263F5B" w:rsidRPr="00263F5B">
        <w:rPr>
          <w:i/>
          <w:color w:val="0070C0"/>
          <w:lang w:val="es-CO"/>
        </w:rPr>
        <w:t>isualizacionesOCDS</w:t>
      </w:r>
      <w:proofErr w:type="spellEnd"/>
      <w:r w:rsidR="00263F5B">
        <w:rPr>
          <w:i/>
          <w:color w:val="0070C0"/>
          <w:lang w:val="es-CO"/>
        </w:rPr>
        <w:t>&gt;</w:t>
      </w:r>
      <w:r w:rsidR="00263F5B" w:rsidRPr="00263F5B">
        <w:rPr>
          <w:i/>
          <w:color w:val="0070C0"/>
          <w:lang w:val="es-CO"/>
        </w:rPr>
        <w:t>/table/tableView.html</w:t>
      </w:r>
    </w:p>
    <w:p w14:paraId="387BE78D" w14:textId="046EEC5C" w:rsidR="00940F9B" w:rsidRDefault="00940F9B" w:rsidP="00940F9B">
      <w:pPr>
        <w:jc w:val="both"/>
        <w:rPr>
          <w:i/>
          <w:color w:val="0070C0"/>
          <w:lang w:val="es-CO"/>
        </w:rPr>
      </w:pPr>
    </w:p>
    <w:p w14:paraId="2E6E3A9F" w14:textId="76B0B557" w:rsidR="00940F9B" w:rsidRPr="00940F9B" w:rsidRDefault="00940F9B" w:rsidP="00940F9B">
      <w:pPr>
        <w:pStyle w:val="Ttulo2"/>
        <w:rPr>
          <w:lang w:val="es-CO"/>
        </w:rPr>
      </w:pPr>
      <w:r w:rsidRPr="00940F9B">
        <w:rPr>
          <w:lang w:val="es-CO"/>
        </w:rPr>
        <w:t>Descripción de usuarios</w:t>
      </w:r>
    </w:p>
    <w:p w14:paraId="08AEB2C3" w14:textId="6A94066B" w:rsidR="00473592" w:rsidRDefault="00473592" w:rsidP="00864DF9">
      <w:pPr>
        <w:rPr>
          <w:lang w:val="es-CO"/>
        </w:rPr>
      </w:pPr>
    </w:p>
    <w:p w14:paraId="3947E891" w14:textId="16B1D639" w:rsidR="004F6C3F" w:rsidRDefault="004F6C3F" w:rsidP="00940F9B">
      <w:pPr>
        <w:jc w:val="both"/>
        <w:rPr>
          <w:i/>
          <w:color w:val="0070C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617"/>
        <w:gridCol w:w="5368"/>
      </w:tblGrid>
      <w:tr w:rsidR="004F6C3F" w14:paraId="3870ACBE" w14:textId="77777777" w:rsidTr="00517970">
        <w:tc>
          <w:tcPr>
            <w:tcW w:w="1843" w:type="dxa"/>
          </w:tcPr>
          <w:p w14:paraId="57F12B04" w14:textId="13706C34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Funcionalidad</w:t>
            </w:r>
          </w:p>
        </w:tc>
        <w:tc>
          <w:tcPr>
            <w:tcW w:w="1617" w:type="dxa"/>
          </w:tcPr>
          <w:p w14:paraId="5A0C2DB7" w14:textId="0F20F612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Perfil</w:t>
            </w:r>
          </w:p>
        </w:tc>
        <w:tc>
          <w:tcPr>
            <w:tcW w:w="5368" w:type="dxa"/>
          </w:tcPr>
          <w:p w14:paraId="2042A996" w14:textId="06F8FF4E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Descripción del perfil</w:t>
            </w:r>
          </w:p>
        </w:tc>
      </w:tr>
      <w:tr w:rsidR="004F6C3F" w14:paraId="213DE6AB" w14:textId="77777777" w:rsidTr="00517970">
        <w:tc>
          <w:tcPr>
            <w:tcW w:w="1843" w:type="dxa"/>
          </w:tcPr>
          <w:p w14:paraId="31FEBE0D" w14:textId="34B5270F" w:rsidR="004F6C3F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Estado del proceso</w:t>
            </w:r>
          </w:p>
        </w:tc>
        <w:tc>
          <w:tcPr>
            <w:tcW w:w="1617" w:type="dxa"/>
          </w:tcPr>
          <w:p w14:paraId="14CDC71A" w14:textId="159C1B1A" w:rsidR="004F6C3F" w:rsidRPr="00263F5B" w:rsidRDefault="00263F5B" w:rsidP="00940F9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55BE3C6" w14:textId="3365AC18" w:rsidR="004F6C3F" w:rsidRPr="00263F5B" w:rsidRDefault="00263F5B" w:rsidP="00940F9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50A7D938" w14:textId="77777777" w:rsidTr="00517970">
        <w:tc>
          <w:tcPr>
            <w:tcW w:w="1843" w:type="dxa"/>
          </w:tcPr>
          <w:p w14:paraId="499A99A6" w14:textId="47406C8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Tipo de proceso de contratación</w:t>
            </w:r>
          </w:p>
        </w:tc>
        <w:tc>
          <w:tcPr>
            <w:tcW w:w="1617" w:type="dxa"/>
          </w:tcPr>
          <w:p w14:paraId="4B0548C6" w14:textId="6503EA9A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24C5BB1C" w14:textId="1420FBE5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0557FBA6" w14:textId="77777777" w:rsidTr="00517970">
        <w:tc>
          <w:tcPr>
            <w:tcW w:w="1843" w:type="dxa"/>
          </w:tcPr>
          <w:p w14:paraId="206446A4" w14:textId="0D916E2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Comprador</w:t>
            </w:r>
          </w:p>
        </w:tc>
        <w:tc>
          <w:tcPr>
            <w:tcW w:w="1617" w:type="dxa"/>
          </w:tcPr>
          <w:p w14:paraId="41F6D14D" w14:textId="624BF85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4C85B01" w14:textId="506C4B1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7744181F" w14:textId="77777777" w:rsidTr="00517970">
        <w:tc>
          <w:tcPr>
            <w:tcW w:w="1843" w:type="dxa"/>
          </w:tcPr>
          <w:p w14:paraId="53B45BD9" w14:textId="1F3AF36F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Etiqueta</w:t>
            </w:r>
          </w:p>
        </w:tc>
        <w:tc>
          <w:tcPr>
            <w:tcW w:w="1617" w:type="dxa"/>
          </w:tcPr>
          <w:p w14:paraId="49346CD9" w14:textId="178274F3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7B409293" w14:textId="658AB05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4655AADD" w14:textId="77777777" w:rsidTr="00517970">
        <w:tc>
          <w:tcPr>
            <w:tcW w:w="1843" w:type="dxa"/>
          </w:tcPr>
          <w:p w14:paraId="42BE71E6" w14:textId="353EDA1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 xml:space="preserve">Realizar una </w:t>
            </w:r>
            <w:proofErr w:type="spellStart"/>
            <w:r w:rsidRPr="00263F5B">
              <w:rPr>
                <w:i/>
                <w:color w:val="0070C0"/>
                <w:lang w:val="es-CO"/>
              </w:rPr>
              <w:t>busqueda</w:t>
            </w:r>
            <w:proofErr w:type="spellEnd"/>
            <w:r w:rsidRPr="00263F5B">
              <w:rPr>
                <w:i/>
                <w:color w:val="0070C0"/>
                <w:lang w:val="es-CO"/>
              </w:rPr>
              <w:t xml:space="preserve"> por Forma de participación</w:t>
            </w:r>
          </w:p>
        </w:tc>
        <w:tc>
          <w:tcPr>
            <w:tcW w:w="1617" w:type="dxa"/>
          </w:tcPr>
          <w:p w14:paraId="1F246417" w14:textId="02CD5E3B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52209089" w14:textId="149AD4EB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</w:t>
            </w:r>
          </w:p>
        </w:tc>
      </w:tr>
      <w:tr w:rsidR="00263F5B" w14:paraId="14F717FA" w14:textId="77777777" w:rsidTr="00517970">
        <w:tc>
          <w:tcPr>
            <w:tcW w:w="1843" w:type="dxa"/>
          </w:tcPr>
          <w:p w14:paraId="0894F44B" w14:textId="57624DEE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Descargar resultados en formato CVS</w:t>
            </w:r>
          </w:p>
        </w:tc>
        <w:tc>
          <w:tcPr>
            <w:tcW w:w="1617" w:type="dxa"/>
          </w:tcPr>
          <w:p w14:paraId="556C9C5D" w14:textId="03757967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42B781B0" w14:textId="0C0FA910" w:rsidR="00263F5B" w:rsidRPr="00263F5B" w:rsidRDefault="00263F5B" w:rsidP="00263F5B">
            <w:pPr>
              <w:jc w:val="both"/>
              <w:rPr>
                <w:i/>
                <w:color w:val="0070C0"/>
                <w:lang w:val="es-CO"/>
              </w:rPr>
            </w:pPr>
            <w:r w:rsidRPr="00263F5B">
              <w:rPr>
                <w:i/>
                <w:color w:val="0070C0"/>
                <w:lang w:val="es-CO"/>
              </w:rPr>
              <w:t>Cualquier interesado en consultar los procesos de contratación en formato OCDS y descargarlos en formato CSV para visualizarlos en Excel</w:t>
            </w:r>
          </w:p>
        </w:tc>
      </w:tr>
    </w:tbl>
    <w:p w14:paraId="3F74107D" w14:textId="77777777" w:rsidR="004F6C3F" w:rsidRPr="004F6C3F" w:rsidRDefault="004F6C3F" w:rsidP="00940F9B">
      <w:pPr>
        <w:jc w:val="both"/>
        <w:rPr>
          <w:lang w:val="es-CO"/>
        </w:rPr>
      </w:pPr>
    </w:p>
    <w:p w14:paraId="310C9C63" w14:textId="535878C9" w:rsidR="00864DF9" w:rsidRDefault="00940F9B" w:rsidP="00940F9B">
      <w:pPr>
        <w:pStyle w:val="Ttulo2"/>
        <w:rPr>
          <w:lang w:val="es-CO"/>
        </w:rPr>
      </w:pPr>
      <w:r>
        <w:rPr>
          <w:lang w:val="es-CO"/>
        </w:rPr>
        <w:t>Descripción de las funcionalidades</w:t>
      </w:r>
    </w:p>
    <w:p w14:paraId="27F78635" w14:textId="2C4DF177" w:rsidR="00940F9B" w:rsidRDefault="00940F9B" w:rsidP="00940F9B">
      <w:pPr>
        <w:rPr>
          <w:lang w:val="es-CO"/>
        </w:rPr>
      </w:pPr>
    </w:p>
    <w:p w14:paraId="2AF8E099" w14:textId="09411718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>Realizar una búsqueda por Estado del proceso: Permite consultar los procesos de contratación que se encuentren en el estado del proceso indicado por el usuario.</w:t>
      </w:r>
    </w:p>
    <w:p w14:paraId="28CD1BF5" w14:textId="24552568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búsqueda por Tipo de proceso de contratación: Permite consultar los procesos de contratación que sean del tipo indicado por el usuario. </w:t>
      </w:r>
    </w:p>
    <w:p w14:paraId="5FB65FB1" w14:textId="7736A502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búsqueda por Comprador: Permite consultar los procesos de contratación que se encuentren asociados al NIT y/o nombre de la entidad indicada por el usuario. </w:t>
      </w:r>
    </w:p>
    <w:p w14:paraId="7281F365" w14:textId="25ED7816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 xml:space="preserve">Realizar una búsqueda por Etiqueta: Permite consultar los procesos de contratación que se encuentren con la etiqueta indicada por el usuario. </w:t>
      </w:r>
    </w:p>
    <w:p w14:paraId="7E6371AF" w14:textId="24715FA2" w:rsidR="00263F5B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>Realizar una búsqueda por Forma de participación: Permite consultar los procesos de contratación que se encuentren con la forma de participación indicada por el usuario.</w:t>
      </w:r>
    </w:p>
    <w:p w14:paraId="7F70E85B" w14:textId="3D977AF7" w:rsidR="00EC31DA" w:rsidRPr="00263F5B" w:rsidRDefault="00263F5B" w:rsidP="00263F5B">
      <w:pPr>
        <w:pStyle w:val="Prrafodelista"/>
        <w:numPr>
          <w:ilvl w:val="0"/>
          <w:numId w:val="12"/>
        </w:numPr>
        <w:jc w:val="both"/>
        <w:rPr>
          <w:i/>
          <w:color w:val="0070C0"/>
          <w:lang w:val="es-CO"/>
        </w:rPr>
      </w:pPr>
      <w:r w:rsidRPr="00263F5B">
        <w:rPr>
          <w:i/>
          <w:color w:val="0070C0"/>
          <w:lang w:val="es-CO"/>
        </w:rPr>
        <w:t>Descargar resultados en formato CVS: Permite descargar los procesos de contratación que se encuentre visualizando el usuario en formato CSV.</w:t>
      </w:r>
    </w:p>
    <w:p w14:paraId="5AF29D47" w14:textId="77777777" w:rsidR="004F6C3F" w:rsidRDefault="004F6C3F" w:rsidP="00940F9B">
      <w:pPr>
        <w:jc w:val="both"/>
        <w:rPr>
          <w:i/>
          <w:color w:val="0070C0"/>
          <w:lang w:val="es-CO"/>
        </w:rPr>
      </w:pPr>
    </w:p>
    <w:p w14:paraId="539ACF20" w14:textId="4C0E079F" w:rsidR="005A0C2A" w:rsidRPr="005A0C2A" w:rsidRDefault="005A0C2A" w:rsidP="005A0C2A">
      <w:pPr>
        <w:pStyle w:val="Ttulo2"/>
        <w:rPr>
          <w:lang w:val="es-CO"/>
        </w:rPr>
      </w:pPr>
      <w:r>
        <w:rPr>
          <w:lang w:val="es-CO"/>
        </w:rPr>
        <w:t>Información para el soporte</w:t>
      </w:r>
    </w:p>
    <w:p w14:paraId="0FE26E76" w14:textId="77777777" w:rsidR="00940F9B" w:rsidRPr="00940F9B" w:rsidRDefault="00940F9B" w:rsidP="00940F9B">
      <w:pPr>
        <w:jc w:val="both"/>
        <w:rPr>
          <w:i/>
          <w:color w:val="0070C0"/>
          <w:lang w:val="es-CO"/>
        </w:rPr>
      </w:pPr>
    </w:p>
    <w:p w14:paraId="4BD8489F" w14:textId="2017FD39" w:rsidR="00864DF9" w:rsidRDefault="00864DF9" w:rsidP="00864DF9">
      <w:pPr>
        <w:rPr>
          <w:lang w:val="es-CO"/>
        </w:rPr>
      </w:pPr>
    </w:p>
    <w:p w14:paraId="5B5C8032" w14:textId="15B98BB6" w:rsidR="00441B8D" w:rsidRDefault="00441B8D" w:rsidP="00441B8D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Cuánta información puedo descargar en formato CSV?</w:t>
      </w:r>
    </w:p>
    <w:p w14:paraId="28959DC1" w14:textId="77777777" w:rsidR="00441B8D" w:rsidRPr="00441B8D" w:rsidRDefault="00441B8D" w:rsidP="00441B8D">
      <w:pPr>
        <w:pStyle w:val="Prrafodelista"/>
        <w:jc w:val="both"/>
        <w:rPr>
          <w:i/>
          <w:color w:val="0070C0"/>
          <w:lang w:val="es-CO"/>
        </w:rPr>
      </w:pPr>
      <w:r w:rsidRPr="00441B8D">
        <w:rPr>
          <w:i/>
          <w:color w:val="0070C0"/>
          <w:lang w:val="es-CO"/>
        </w:rPr>
        <w:t>Solo se permite descargar la información de una página de consulta, debido a que por tamaño de los archivos y/o de los resultados el procesamiento completo puede bloquear el servicio del cliente y/o del servidor en caso de mucha concurrencia.</w:t>
      </w:r>
    </w:p>
    <w:p w14:paraId="0A3183B0" w14:textId="68081AFB" w:rsidR="00441B8D" w:rsidRDefault="00441B8D" w:rsidP="00441B8D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Cómo puedo visualizar la información de todo el contrato, si en pantalla solo veo unas columnas?</w:t>
      </w:r>
    </w:p>
    <w:p w14:paraId="1A00013A" w14:textId="6D40AF8B" w:rsidR="00441B8D" w:rsidRDefault="00441B8D" w:rsidP="00441B8D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Descargando la información en formato CSV</w:t>
      </w:r>
    </w:p>
    <w:p w14:paraId="659B56EA" w14:textId="59A2FD4E" w:rsidR="00441B8D" w:rsidRDefault="00441B8D" w:rsidP="00441B8D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Es posible cambiar el tamaño de la paginación de la consulta?</w:t>
      </w:r>
    </w:p>
    <w:p w14:paraId="5CDC7C64" w14:textId="273911F7" w:rsidR="00441B8D" w:rsidRDefault="00441B8D" w:rsidP="00441B8D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No. El sistema está configurado con un tamaño estándar para observación según comportamiento de los usuarios. Puede que a futuro este valor cambie.</w:t>
      </w:r>
    </w:p>
    <w:p w14:paraId="5372FD3B" w14:textId="2469C73B" w:rsidR="00441B8D" w:rsidRDefault="00441B8D" w:rsidP="00441B8D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Debo escribir el NIT y el nombre de la entidad para la consulta por comprador?</w:t>
      </w:r>
    </w:p>
    <w:p w14:paraId="090CF083" w14:textId="65631AD9" w:rsidR="00441B8D" w:rsidRDefault="00441B8D" w:rsidP="00441B8D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No. Con uno solo de los datos se puede hacer la consulta.</w:t>
      </w:r>
    </w:p>
    <w:p w14:paraId="486C7BE8" w14:textId="2CF558CD" w:rsidR="00441B8D" w:rsidRDefault="00441B8D" w:rsidP="00441B8D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Qué hacer cuando no se visualiza nada en pantalla?</w:t>
      </w:r>
    </w:p>
    <w:p w14:paraId="04DA3CB7" w14:textId="77777777" w:rsidR="00441B8D" w:rsidRPr="00AB6065" w:rsidRDefault="00441B8D" w:rsidP="00441B8D">
      <w:pPr>
        <w:pStyle w:val="Prrafodelista"/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lastRenderedPageBreak/>
        <w:t>Se debe revisar que el servidor de Apache se encuentre activo y respondiendo</w:t>
      </w:r>
      <w:bookmarkStart w:id="0" w:name="_GoBack"/>
      <w:bookmarkEnd w:id="0"/>
    </w:p>
    <w:p w14:paraId="535A4095" w14:textId="77777777" w:rsidR="00441B8D" w:rsidRDefault="00441B8D" w:rsidP="00864DF9">
      <w:pPr>
        <w:rPr>
          <w:lang w:val="es-CO"/>
        </w:rPr>
      </w:pPr>
    </w:p>
    <w:sectPr w:rsidR="00441B8D" w:rsidSect="003402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8D749" w14:textId="77777777" w:rsidR="00160BF9" w:rsidRDefault="00160BF9" w:rsidP="004F2C35">
      <w:r>
        <w:separator/>
      </w:r>
    </w:p>
  </w:endnote>
  <w:endnote w:type="continuationSeparator" w:id="0">
    <w:p w14:paraId="41CE7D5A" w14:textId="77777777" w:rsidR="00160BF9" w:rsidRDefault="00160BF9" w:rsidP="004F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E8E" w14:textId="77777777" w:rsidR="00C50D27" w:rsidRDefault="00C50D27">
    <w:pPr>
      <w:pStyle w:val="Piedepgina"/>
      <w:jc w:val="right"/>
    </w:pPr>
  </w:p>
  <w:p w14:paraId="28620583" w14:textId="77777777" w:rsidR="004F2C35" w:rsidRPr="00C50D27" w:rsidRDefault="00F532BF" w:rsidP="00C50D27">
    <w:pPr>
      <w:pStyle w:val="Piedepgina"/>
    </w:pPr>
    <w:r>
      <w:rPr>
        <w:noProof/>
        <w:lang w:val="es-CO" w:eastAsia="es-CO"/>
      </w:rPr>
      <w:drawing>
        <wp:inline distT="0" distB="0" distL="0" distR="0" wp14:anchorId="393CF4D7" wp14:editId="7289B006">
          <wp:extent cx="5612130" cy="791845"/>
          <wp:effectExtent l="0" t="0" r="7620" b="8255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erre_Documento_CC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DEEF" w14:textId="77777777" w:rsidR="009A67BC" w:rsidRDefault="009A67BC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72EEF92D" wp14:editId="54DA2B02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719E4" w14:textId="77777777" w:rsidR="009A67BC" w:rsidRPr="009A67BC" w:rsidRDefault="009A67BC" w:rsidP="009A67BC">
    <w:pPr>
      <w:pStyle w:val="Piedepgina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50B0C8B6" wp14:editId="2910D7EB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F0AA1" w14:textId="77777777" w:rsidR="00160BF9" w:rsidRDefault="00160BF9" w:rsidP="004F2C35">
      <w:r>
        <w:separator/>
      </w:r>
    </w:p>
  </w:footnote>
  <w:footnote w:type="continuationSeparator" w:id="0">
    <w:p w14:paraId="3AB59CDF" w14:textId="77777777" w:rsidR="00160BF9" w:rsidRDefault="00160BF9" w:rsidP="004F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2521" w14:textId="77777777" w:rsidR="006D761F" w:rsidRDefault="004F2C35" w:rsidP="006D761F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09D4D6DA" wp14:editId="45431301">
          <wp:extent cx="1500803" cy="616644"/>
          <wp:effectExtent l="0" t="0" r="444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2E70E12" w14:textId="77777777" w:rsidR="006D761F" w:rsidRPr="006D761F" w:rsidRDefault="006D761F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DE7" w14:textId="77777777" w:rsidR="00B30435" w:rsidRDefault="00B30435" w:rsidP="00B30435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2732C0CE" wp14:editId="611B6498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0461EDA" w14:textId="77777777" w:rsidR="00B30435" w:rsidRPr="006D761F" w:rsidRDefault="00B30435" w:rsidP="00B30435">
    <w:pPr>
      <w:pStyle w:val="Ttulo1"/>
      <w:rPr>
        <w:szCs w:val="24"/>
      </w:rPr>
    </w:pPr>
    <w:r w:rsidRPr="006D761F">
      <w:rPr>
        <w:szCs w:val="24"/>
      </w:rPr>
      <w:t>TÍTULO DEL DOCUMENTO</w:t>
    </w:r>
  </w:p>
  <w:p w14:paraId="3D1A530F" w14:textId="77777777" w:rsidR="00B30435" w:rsidRPr="00B30435" w:rsidRDefault="00B30435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B20"/>
    <w:multiLevelType w:val="hybridMultilevel"/>
    <w:tmpl w:val="33FCA6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0E6"/>
    <w:multiLevelType w:val="hybridMultilevel"/>
    <w:tmpl w:val="459CF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3264"/>
    <w:multiLevelType w:val="hybridMultilevel"/>
    <w:tmpl w:val="D5E8B2E2"/>
    <w:lvl w:ilvl="0" w:tplc="A82C18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01E2"/>
    <w:multiLevelType w:val="hybridMultilevel"/>
    <w:tmpl w:val="A684C5F8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8941E1"/>
    <w:multiLevelType w:val="hybridMultilevel"/>
    <w:tmpl w:val="3244E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B34E8B"/>
    <w:multiLevelType w:val="hybridMultilevel"/>
    <w:tmpl w:val="EC6461B0"/>
    <w:lvl w:ilvl="0" w:tplc="E0FEEE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032D3"/>
    <w:multiLevelType w:val="hybridMultilevel"/>
    <w:tmpl w:val="F018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2BE1"/>
    <w:multiLevelType w:val="hybridMultilevel"/>
    <w:tmpl w:val="F76ED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A53A7"/>
    <w:multiLevelType w:val="hybridMultilevel"/>
    <w:tmpl w:val="23442B0E"/>
    <w:lvl w:ilvl="0" w:tplc="D1146778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F9"/>
    <w:rsid w:val="000438E2"/>
    <w:rsid w:val="00091E6B"/>
    <w:rsid w:val="000D7CD2"/>
    <w:rsid w:val="0014591D"/>
    <w:rsid w:val="00154ECB"/>
    <w:rsid w:val="00160BF9"/>
    <w:rsid w:val="0017783B"/>
    <w:rsid w:val="00181D75"/>
    <w:rsid w:val="001A1B68"/>
    <w:rsid w:val="001A5E22"/>
    <w:rsid w:val="001C6359"/>
    <w:rsid w:val="001C75B3"/>
    <w:rsid w:val="001D32CE"/>
    <w:rsid w:val="001D7612"/>
    <w:rsid w:val="001F7199"/>
    <w:rsid w:val="002535A9"/>
    <w:rsid w:val="00263F5B"/>
    <w:rsid w:val="002907F4"/>
    <w:rsid w:val="00305CEF"/>
    <w:rsid w:val="0034024E"/>
    <w:rsid w:val="003E173E"/>
    <w:rsid w:val="00441B8D"/>
    <w:rsid w:val="00473592"/>
    <w:rsid w:val="00474EDE"/>
    <w:rsid w:val="004B1B0F"/>
    <w:rsid w:val="004B3870"/>
    <w:rsid w:val="004C4CB8"/>
    <w:rsid w:val="004D7480"/>
    <w:rsid w:val="004F2C35"/>
    <w:rsid w:val="004F6C3F"/>
    <w:rsid w:val="00517970"/>
    <w:rsid w:val="005225E0"/>
    <w:rsid w:val="00576592"/>
    <w:rsid w:val="0059060F"/>
    <w:rsid w:val="005A0C2A"/>
    <w:rsid w:val="005A1943"/>
    <w:rsid w:val="0065617D"/>
    <w:rsid w:val="006A63AE"/>
    <w:rsid w:val="006D761F"/>
    <w:rsid w:val="00705E22"/>
    <w:rsid w:val="007212F3"/>
    <w:rsid w:val="00751787"/>
    <w:rsid w:val="0079118F"/>
    <w:rsid w:val="007B662D"/>
    <w:rsid w:val="007C1BAD"/>
    <w:rsid w:val="00815A88"/>
    <w:rsid w:val="00864DF9"/>
    <w:rsid w:val="00880720"/>
    <w:rsid w:val="008A1A6F"/>
    <w:rsid w:val="008A71EC"/>
    <w:rsid w:val="008C691D"/>
    <w:rsid w:val="00940F9B"/>
    <w:rsid w:val="009A67BC"/>
    <w:rsid w:val="009B26E4"/>
    <w:rsid w:val="00A06874"/>
    <w:rsid w:val="00A34836"/>
    <w:rsid w:val="00A6038F"/>
    <w:rsid w:val="00AD3119"/>
    <w:rsid w:val="00AF1737"/>
    <w:rsid w:val="00B11CD8"/>
    <w:rsid w:val="00B30435"/>
    <w:rsid w:val="00B946CB"/>
    <w:rsid w:val="00BB0D04"/>
    <w:rsid w:val="00C2579D"/>
    <w:rsid w:val="00C50D27"/>
    <w:rsid w:val="00C81483"/>
    <w:rsid w:val="00D67F6F"/>
    <w:rsid w:val="00E66CC3"/>
    <w:rsid w:val="00EB47F3"/>
    <w:rsid w:val="00EC31DA"/>
    <w:rsid w:val="00F311BA"/>
    <w:rsid w:val="00F532BF"/>
    <w:rsid w:val="00F53DA5"/>
    <w:rsid w:val="00F56D6D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87F3"/>
  <w15:chartTrackingRefBased/>
  <w15:docId w15:val="{F628B402-EC19-40AE-A0E2-71DA7F2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874"/>
    <w:pPr>
      <w:spacing w:after="0" w:line="240" w:lineRule="auto"/>
    </w:pPr>
    <w:rPr>
      <w:sz w:val="24"/>
      <w:lang w:val="es-MX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2"/>
      </w:numPr>
      <w:spacing w:after="300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6874"/>
    <w:rPr>
      <w:color w:val="0078AE" w:themeColor="hyperlink"/>
      <w:u w:val="single"/>
    </w:rPr>
  </w:style>
  <w:style w:type="paragraph" w:customStyle="1" w:styleId="paragraph">
    <w:name w:val="paragraph"/>
    <w:basedOn w:val="Normal"/>
    <w:rsid w:val="000D7CD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0D7CD2"/>
  </w:style>
  <w:style w:type="character" w:customStyle="1" w:styleId="eop">
    <w:name w:val="eop"/>
    <w:basedOn w:val="Fuentedeprrafopredeter"/>
    <w:rsid w:val="000D7CD2"/>
  </w:style>
  <w:style w:type="character" w:customStyle="1" w:styleId="contextualspellingandgrammarerror">
    <w:name w:val="contextualspellingandgrammarerror"/>
    <w:basedOn w:val="Fuentedeprrafopredeter"/>
    <w:rsid w:val="000D7CD2"/>
  </w:style>
  <w:style w:type="character" w:styleId="Mencinsinresolver">
    <w:name w:val="Unresolved Mention"/>
    <w:basedOn w:val="Fuentedeprrafopredeter"/>
    <w:uiPriority w:val="99"/>
    <w:semiHidden/>
    <w:unhideWhenUsed/>
    <w:rsid w:val="00473592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31D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31DA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C31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B60CA1277CFD4FA2632B0DB4BCE374" ma:contentTypeVersion="4" ma:contentTypeDescription="Crear nuevo documento." ma:contentTypeScope="" ma:versionID="2b756a7860473eaccc9d08ffeb883877">
  <xsd:schema xmlns:xsd="http://www.w3.org/2001/XMLSchema" xmlns:xs="http://www.w3.org/2001/XMLSchema" xmlns:p="http://schemas.microsoft.com/office/2006/metadata/properties" xmlns:ns2="697c4dee-e7ec-4d95-9444-4931b2058c5c" xmlns:ns3="b63347c1-563f-4ad8-9552-b21c690a4cfc" targetNamespace="http://schemas.microsoft.com/office/2006/metadata/properties" ma:root="true" ma:fieldsID="0f0fb0566a0a81e8d0ef3db5b6fa3f9d" ns2:_="" ns3:_="">
    <xsd:import namespace="697c4dee-e7ec-4d95-9444-4931b2058c5c"/>
    <xsd:import namespace="b63347c1-563f-4ad8-9552-b21c690a4c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4dee-e7ec-4d95-9444-4931b2058c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47c1-563f-4ad8-9552-b21c690a4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2871A-D8ED-4C4E-AA6F-8CAABE100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A085F-0DC0-4839-9041-B79AB90E0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9DB41D-9AAA-4BE0-835B-7A4CFEBE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4dee-e7ec-4d95-9444-4931b2058c5c"/>
    <ds:schemaRef ds:uri="b63347c1-563f-4ad8-9552-b21c690a4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2B2E23-4591-4555-BBBC-BAFB998E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Caballero Andrade</dc:creator>
  <cp:keywords/>
  <dc:description/>
  <cp:lastModifiedBy>Saulo David Daza Sierra</cp:lastModifiedBy>
  <cp:revision>14</cp:revision>
  <cp:lastPrinted>2017-09-28T22:28:00Z</cp:lastPrinted>
  <dcterms:created xsi:type="dcterms:W3CDTF">2018-03-05T19:59:00Z</dcterms:created>
  <dcterms:modified xsi:type="dcterms:W3CDTF">2019-01-08T15:28:00Z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0x010100BFB60CA1277CFD4FA2632B0DB4BCE374</vt:lpwstr>
  </property>
</Properties>
</file>