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317"/>
      </w:tblGrid>
      <w:tr>
        <w:tc>
          <w:tcPr>
            <w:tcW w:type="dxa" w:w="9317"/>
            <w:shd w:val="clear" w:color="auto" w:fill="00337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280" w:after="80"/>
              <w:jc w:val="center"/>
            </w:pPr>
            <w:r>
              <w:rPr>
                <w:rFonts w:ascii="Calibri" w:hAnsi="Calibri"/>
                <w:b/>
                <w:i w:val="0"/>
                <w:color w:val="FFFFFF"/>
                <w:sz w:val="40"/>
              </w:rPr>
              <w:t>Cross-Border Remittance &amp; SWIFT</w:t>
            </w:r>
          </w:p>
          <w:p>
            <w:pPr>
              <w:spacing w:after="200"/>
              <w:jc w:val="center"/>
            </w:pPr>
            <w:r>
              <w:rPr>
                <w:rFonts w:ascii="Calibri" w:hAnsi="Calibri"/>
                <w:b w:val="0"/>
                <w:i/>
                <w:color w:val="E9C46A"/>
                <w:sz w:val="20"/>
              </w:rPr>
              <w:t>Knowledge Series  ·  4-minute read  ·  Beginner → Intermediate</w:t>
            </w:r>
          </w:p>
        </w:tc>
      </w:tr>
    </w:tbl>
    <w:p>
      <w:pPr>
        <w:spacing w:before="120" w:after="120"/>
      </w:pPr>
    </w:p>
    <w:tbl>
      <w:tblPr>
        <w:tblW w:type="auto" w:w="0"/>
        <w:jc w:val="left"/>
        <w:tblLook w:firstColumn="1" w:firstRow="1" w:lastColumn="0" w:lastRow="0" w:noHBand="0" w:noVBand="1" w:val="04A0"/>
      </w:tblPr>
      <w:tblGrid>
        <w:gridCol w:w="2329"/>
        <w:gridCol w:w="2329"/>
        <w:gridCol w:w="2329"/>
        <w:gridCol w:w="2329"/>
      </w:tblGrid>
      <w:tr>
        <w:tc>
          <w:tcPr>
            <w:tcW w:type="dxa" w:w="2329"/>
            <w:shd w:val="clear" w:color="auto" w:fill="2C3E5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00" w:after="40"/>
              <w:jc w:val="center"/>
            </w:pPr>
            <w:r>
              <w:rPr>
                <w:rFonts w:ascii="Calibri" w:hAnsi="Calibri"/>
                <w:b/>
                <w:i w:val="0"/>
                <w:color w:val="E9C46A"/>
                <w:sz w:val="14"/>
              </w:rPr>
              <w:t>Series</w:t>
              <w:br/>
            </w:r>
          </w:p>
          <w:p>
            <w:pPr>
              <w:spacing w:after="100"/>
              <w:jc w:val="center"/>
            </w:pPr>
            <w:r>
              <w:rPr>
                <w:rFonts w:ascii="Calibri" w:hAnsi="Calibri"/>
                <w:b w:val="0"/>
                <w:i w:val="0"/>
                <w:color w:val="FFFFFF"/>
                <w:sz w:val="17"/>
              </w:rPr>
              <w:t>Financial Systems 101</w:t>
            </w:r>
          </w:p>
        </w:tc>
        <w:tc>
          <w:tcPr>
            <w:tcW w:type="dxa" w:w="2329"/>
            <w:shd w:val="clear" w:color="auto" w:fill="007A4C"/>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00" w:after="40"/>
              <w:jc w:val="center"/>
            </w:pPr>
            <w:r>
              <w:rPr>
                <w:rFonts w:ascii="Calibri" w:hAnsi="Calibri"/>
                <w:b/>
                <w:i w:val="0"/>
                <w:color w:val="E9C46A"/>
                <w:sz w:val="14"/>
              </w:rPr>
              <w:t>Level</w:t>
              <w:br/>
            </w:r>
          </w:p>
          <w:p>
            <w:pPr>
              <w:spacing w:after="100"/>
              <w:jc w:val="center"/>
            </w:pPr>
            <w:r>
              <w:rPr>
                <w:rFonts w:ascii="Calibri" w:hAnsi="Calibri"/>
                <w:b w:val="0"/>
                <w:i w:val="0"/>
                <w:color w:val="FFFFFF"/>
                <w:sz w:val="17"/>
              </w:rPr>
              <w:t>Beginner → Intermediate</w:t>
            </w:r>
          </w:p>
        </w:tc>
        <w:tc>
          <w:tcPr>
            <w:tcW w:type="dxa" w:w="2329"/>
            <w:shd w:val="clear" w:color="auto" w:fill="0070C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00" w:after="40"/>
              <w:jc w:val="center"/>
            </w:pPr>
            <w:r>
              <w:rPr>
                <w:rFonts w:ascii="Calibri" w:hAnsi="Calibri"/>
                <w:b/>
                <w:i w:val="0"/>
                <w:color w:val="E9C46A"/>
                <w:sz w:val="14"/>
              </w:rPr>
              <w:t>Read Time</w:t>
              <w:br/>
            </w:r>
          </w:p>
          <w:p>
            <w:pPr>
              <w:spacing w:after="100"/>
              <w:jc w:val="center"/>
            </w:pPr>
            <w:r>
              <w:rPr>
                <w:rFonts w:ascii="Calibri" w:hAnsi="Calibri"/>
                <w:b w:val="0"/>
                <w:i w:val="0"/>
                <w:color w:val="FFFFFF"/>
                <w:sz w:val="17"/>
              </w:rPr>
              <w:t>≈ 4 minutes</w:t>
            </w:r>
          </w:p>
        </w:tc>
        <w:tc>
          <w:tcPr>
            <w:tcW w:type="dxa" w:w="2329"/>
            <w:shd w:val="clear" w:color="auto" w:fill="D46A0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00" w:after="40"/>
              <w:jc w:val="center"/>
            </w:pPr>
            <w:r>
              <w:rPr>
                <w:rFonts w:ascii="Calibri" w:hAnsi="Calibri"/>
                <w:b/>
                <w:i w:val="0"/>
                <w:color w:val="E9C46A"/>
                <w:sz w:val="14"/>
              </w:rPr>
              <w:t>Topic</w:t>
              <w:br/>
            </w:r>
          </w:p>
          <w:p>
            <w:pPr>
              <w:spacing w:after="100"/>
              <w:jc w:val="center"/>
            </w:pPr>
            <w:r>
              <w:rPr>
                <w:rFonts w:ascii="Calibri" w:hAnsi="Calibri"/>
                <w:b w:val="0"/>
                <w:i w:val="0"/>
                <w:color w:val="FFFFFF"/>
                <w:sz w:val="17"/>
              </w:rPr>
              <w:t>Cross-Border Payments</w:t>
            </w:r>
          </w:p>
        </w:tc>
      </w:tr>
    </w:tbl>
    <w:p>
      <w:pPr>
        <w:spacing w:before="160" w:after="160"/>
      </w:pPr>
    </w:p>
    <w:p>
      <w:pPr>
        <w:spacing w:before="80" w:after="80"/>
      </w:pPr>
      <w:r>
        <w:rPr>
          <w:rFonts w:ascii="Calibri" w:hAnsi="Calibri"/>
          <w:b w:val="0"/>
          <w:i/>
          <w:color w:val="003372"/>
          <w:sz w:val="23"/>
        </w:rPr>
        <w:t>You send £27,000 from London to Tokyo. Within 1–3 days the money appears in your supplier's account on the other side of the world. But how? No van drove it there. No plane carried it. What actually happened?</w:t>
      </w:r>
    </w:p>
    <w:p>
      <w:pPr>
        <w:spacing w:before="40" w:after="160"/>
      </w:pPr>
      <w:r>
        <w:rPr>
          <w:rFonts w:ascii="Calibri" w:hAnsi="Calibri"/>
          <w:b w:val="0"/>
          <w:i w:val="0"/>
          <w:color w:val="222222"/>
          <w:sz w:val="21"/>
        </w:rPr>
        <w:t>The answer involves a 50-year-old network, a chain of international banks, and secure messages flying across a private internet you've never heard of. This article explains it — simply, visually, and completely.</w:t>
      </w:r>
    </w:p>
    <w:p>
      <w:pPr>
        <w:pBdr>
          <w:bottom w:val="single" w:sz="6" w:space="1" w:color="BFBFBF"/>
        </w:pBdr>
        <w:spacing w:before="160" w:after="160"/>
      </w:pPr>
    </w:p>
    <w:tbl>
      <w:tblPr>
        <w:tblW w:type="auto" w:w="0"/>
        <w:jc w:val="left"/>
        <w:tblLook w:firstColumn="1" w:firstRow="1" w:lastColumn="0" w:lastRow="0" w:noHBand="0" w:noVBand="1" w:val="04A0"/>
      </w:tblPr>
      <w:tblGrid>
        <w:gridCol w:w="4658"/>
        <w:gridCol w:w="4658"/>
      </w:tblGrid>
      <w:tr>
        <w:tc>
          <w:tcPr>
            <w:tcW w:type="dxa" w:w="648"/>
            <w:shd w:val="clear" w:color="auto" w:fill="F0A00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jc w:val="center"/>
            </w:pPr>
            <w:r>
              <w:rPr>
                <w:rFonts w:ascii="Calibri" w:hAnsi="Calibri"/>
                <w:b/>
                <w:i w:val="0"/>
                <w:color w:val="003372"/>
                <w:sz w:val="23"/>
              </w:rPr>
              <w:t>01</w:t>
            </w:r>
          </w:p>
        </w:tc>
        <w:tc>
          <w:tcPr>
            <w:tcW w:type="dxa" w:w="8669"/>
            <w:shd w:val="clear" w:color="auto" w:fill="00337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ind w:left="200"/>
            </w:pPr>
            <w:r>
              <w:rPr>
                <w:rFonts w:ascii="Calibri" w:hAnsi="Calibri"/>
                <w:b/>
                <w:i w:val="0"/>
                <w:color w:val="FFFFFF"/>
                <w:sz w:val="23"/>
              </w:rPr>
              <w:t>The Problem: Banks Don't Talk to Each Other</w:t>
            </w:r>
          </w:p>
        </w:tc>
      </w:tr>
    </w:tbl>
    <w:p>
      <w:pPr>
        <w:spacing w:before="80" w:after="80"/>
      </w:pPr>
    </w:p>
    <w:p>
      <w:pPr>
        <w:spacing w:before="60" w:after="100"/>
      </w:pPr>
      <w:r>
        <w:rPr>
          <w:rFonts w:ascii="Calibri" w:hAnsi="Calibri"/>
          <w:b w:val="0"/>
          <w:i w:val="0"/>
          <w:color w:val="222222"/>
          <w:sz w:val="21"/>
        </w:rPr>
        <w:t>Your bank in London has no direct relationship with a Japanese bank in Tokyo. They speak different systems, hold different currencies, and operate under different regulators. Before 1977, banks sent international payment instructions by telex — free-form text messages that were slow, error-prone, and easily forged.</w:t>
      </w:r>
    </w:p>
    <w:p>
      <w:pPr>
        <w:spacing w:before="60" w:after="60"/>
      </w:pPr>
    </w:p>
    <w:tbl>
      <w:tblPr>
        <w:tblW w:type="auto" w:w="0"/>
        <w:jc w:val="left"/>
        <w:tblLook w:firstColumn="1" w:firstRow="1" w:lastColumn="0" w:lastRow="0" w:noHBand="0" w:noVBand="1" w:val="04A0"/>
      </w:tblPr>
      <w:tblGrid>
        <w:gridCol w:w="4658"/>
        <w:gridCol w:w="4658"/>
      </w:tblGrid>
      <w:tr>
        <w:tc>
          <w:tcPr>
            <w:tcW w:type="dxa" w:w="4658"/>
            <w:shd w:val="clear" w:color="auto" w:fill="FFEBEB"/>
            <w:tcBorders>
              <w:top w:val="single" w:sz="8" w:space="0" w:color="C00000"/>
              <w:left w:val="single" w:sz="8" w:space="0" w:color="C00000"/>
              <w:bottom w:val="single" w:sz="8" w:space="0" w:color="C00000"/>
              <w:right w:val="single" w:sz="8" w:space="0" w:color="C00000"/>
            </w:tcBorders>
          </w:tcPr>
          <w:p>
            <w:pPr>
              <w:spacing w:before="140" w:after="80"/>
              <w:ind w:left="160"/>
            </w:pPr>
            <w:r>
              <w:rPr>
                <w:rFonts w:ascii="Calibri" w:hAnsi="Calibri"/>
                <w:b/>
                <w:i w:val="0"/>
                <w:color w:val="C00000"/>
                <w:sz w:val="19"/>
              </w:rPr>
              <w:t>Telex Era Problems</w:t>
              <w:br/>
            </w:r>
          </w:p>
          <w:p>
            <w:pPr>
              <w:spacing w:after="40"/>
              <w:ind w:left="160"/>
            </w:pPr>
            <w:r>
              <w:rPr>
                <w:rFonts w:ascii="Calibri" w:hAnsi="Calibri"/>
                <w:b w:val="0"/>
                <w:i w:val="0"/>
                <w:color w:val="222222"/>
                <w:sz w:val="18"/>
              </w:rPr>
              <w:t>✗  No standard message format</w:t>
            </w:r>
          </w:p>
          <w:p>
            <w:pPr>
              <w:spacing w:after="40"/>
              <w:ind w:left="160"/>
            </w:pPr>
            <w:r>
              <w:rPr>
                <w:rFonts w:ascii="Calibri" w:hAnsi="Calibri"/>
                <w:b w:val="0"/>
                <w:i w:val="0"/>
                <w:color w:val="222222"/>
                <w:sz w:val="18"/>
              </w:rPr>
              <w:t>✗  Messages easily forged</w:t>
            </w:r>
          </w:p>
          <w:p>
            <w:pPr>
              <w:spacing w:after="40"/>
              <w:ind w:left="160"/>
            </w:pPr>
            <w:r>
              <w:rPr>
                <w:rFonts w:ascii="Calibri" w:hAnsi="Calibri"/>
                <w:b w:val="0"/>
                <w:i w:val="0"/>
                <w:color w:val="222222"/>
                <w:sz w:val="18"/>
              </w:rPr>
              <w:t>✗  No delivery confirmation</w:t>
            </w:r>
          </w:p>
          <w:p>
            <w:pPr>
              <w:spacing w:after="40"/>
              <w:ind w:left="160"/>
            </w:pPr>
            <w:r>
              <w:rPr>
                <w:rFonts w:ascii="Calibri" w:hAnsi="Calibri"/>
                <w:b w:val="0"/>
                <w:i w:val="0"/>
                <w:color w:val="222222"/>
                <w:sz w:val="18"/>
              </w:rPr>
              <w:t>✗  Manual re-keying at every bank</w:t>
            </w:r>
          </w:p>
          <w:p>
            <w:pPr>
              <w:spacing w:after="40"/>
              <w:ind w:left="160"/>
            </w:pPr>
            <w:r>
              <w:rPr>
                <w:rFonts w:ascii="Calibri" w:hAnsi="Calibri"/>
                <w:b w:val="0"/>
                <w:i w:val="0"/>
                <w:color w:val="222222"/>
                <w:sz w:val="18"/>
              </w:rPr>
              <w:t>✗  Processing took days to weeks</w:t>
            </w:r>
          </w:p>
          <w:p>
            <w:pPr>
              <w:spacing w:after="120"/>
            </w:pPr>
          </w:p>
        </w:tc>
        <w:tc>
          <w:tcPr>
            <w:tcW w:type="dxa" w:w="4658"/>
            <w:shd w:val="clear" w:color="auto" w:fill="E8F8EE"/>
            <w:tcBorders>
              <w:top w:val="single" w:sz="8" w:space="0" w:color="007A4C"/>
              <w:left w:val="single" w:sz="8" w:space="0" w:color="007A4C"/>
              <w:bottom w:val="single" w:sz="8" w:space="0" w:color="007A4C"/>
              <w:right w:val="single" w:sz="8" w:space="0" w:color="007A4C"/>
            </w:tcBorders>
          </w:tcPr>
          <w:p>
            <w:pPr>
              <w:spacing w:before="140" w:after="80"/>
              <w:ind w:left="160"/>
            </w:pPr>
            <w:r>
              <w:rPr>
                <w:rFonts w:ascii="Calibri" w:hAnsi="Calibri"/>
                <w:b/>
                <w:i w:val="0"/>
                <w:color w:val="007A4C"/>
                <w:sz w:val="19"/>
              </w:rPr>
              <w:t>What the World Needed</w:t>
              <w:br/>
            </w:r>
          </w:p>
          <w:p>
            <w:pPr>
              <w:spacing w:after="40"/>
              <w:ind w:left="160"/>
            </w:pPr>
            <w:r>
              <w:rPr>
                <w:rFonts w:ascii="Calibri" w:hAnsi="Calibri"/>
                <w:b w:val="0"/>
                <w:i w:val="0"/>
                <w:color w:val="007A4C"/>
                <w:sz w:val="18"/>
              </w:rPr>
              <w:t>✓  A universal message standard</w:t>
            </w:r>
          </w:p>
          <w:p>
            <w:pPr>
              <w:spacing w:after="40"/>
              <w:ind w:left="160"/>
            </w:pPr>
            <w:r>
              <w:rPr>
                <w:rFonts w:ascii="Calibri" w:hAnsi="Calibri"/>
                <w:b w:val="0"/>
                <w:i w:val="0"/>
                <w:color w:val="007A4C"/>
                <w:sz w:val="18"/>
              </w:rPr>
              <w:t>✓  Secure, authenticated messaging</w:t>
            </w:r>
          </w:p>
          <w:p>
            <w:pPr>
              <w:spacing w:after="40"/>
              <w:ind w:left="160"/>
            </w:pPr>
            <w:r>
              <w:rPr>
                <w:rFonts w:ascii="Calibri" w:hAnsi="Calibri"/>
                <w:b w:val="0"/>
                <w:i w:val="0"/>
                <w:color w:val="007A4C"/>
                <w:sz w:val="18"/>
              </w:rPr>
              <w:t>✓  Automated error-free routing</w:t>
            </w:r>
          </w:p>
          <w:p>
            <w:pPr>
              <w:spacing w:after="40"/>
              <w:ind w:left="160"/>
            </w:pPr>
            <w:r>
              <w:rPr>
                <w:rFonts w:ascii="Calibri" w:hAnsi="Calibri"/>
                <w:b w:val="0"/>
                <w:i w:val="0"/>
                <w:color w:val="007A4C"/>
                <w:sz w:val="18"/>
              </w:rPr>
              <w:t>✓  Instant delivery confirmation</w:t>
            </w:r>
          </w:p>
          <w:p>
            <w:pPr>
              <w:spacing w:after="40"/>
              <w:ind w:left="160"/>
            </w:pPr>
            <w:r>
              <w:rPr>
                <w:rFonts w:ascii="Calibri" w:hAnsi="Calibri"/>
                <w:b w:val="0"/>
                <w:i w:val="0"/>
                <w:color w:val="007A4C"/>
                <w:sz w:val="18"/>
              </w:rPr>
              <w:t>✓  A network all banks could join</w:t>
            </w:r>
          </w:p>
          <w:p>
            <w:pPr>
              <w:spacing w:after="120"/>
            </w:pPr>
          </w:p>
        </w:tc>
      </w:tr>
    </w:tbl>
    <w:p>
      <w:pPr>
        <w:spacing w:before="80" w:after="80"/>
      </w:pPr>
    </w:p>
    <w:p>
      <w:pPr>
        <w:spacing w:before="60" w:after="100"/>
      </w:pPr>
      <w:r>
        <w:rPr>
          <w:rFonts w:ascii="Calibri" w:hAnsi="Calibri"/>
          <w:b w:val="0"/>
          <w:i/>
          <w:color w:val="2C3E50"/>
          <w:sz w:val="20"/>
        </w:rPr>
        <w:t>In 1973, 239 banks from 15 countries met in Brussels with one mission: build a better way. The result launched four years later — SWIFT.</w:t>
      </w:r>
    </w:p>
    <w:p>
      <w:pPr>
        <w:pBdr>
          <w:bottom w:val="single" w:sz="6" w:space="1" w:color="BFBFBF"/>
        </w:pBdr>
        <w:spacing w:before="160" w:after="160"/>
      </w:pPr>
    </w:p>
    <w:tbl>
      <w:tblPr>
        <w:tblW w:type="auto" w:w="0"/>
        <w:jc w:val="left"/>
        <w:tblLook w:firstColumn="1" w:firstRow="1" w:lastColumn="0" w:lastRow="0" w:noHBand="0" w:noVBand="1" w:val="04A0"/>
      </w:tblPr>
      <w:tblGrid>
        <w:gridCol w:w="4658"/>
        <w:gridCol w:w="4658"/>
      </w:tblGrid>
      <w:tr>
        <w:tc>
          <w:tcPr>
            <w:tcW w:type="dxa" w:w="648"/>
            <w:shd w:val="clear" w:color="auto" w:fill="F0A00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jc w:val="center"/>
            </w:pPr>
            <w:r>
              <w:rPr>
                <w:rFonts w:ascii="Calibri" w:hAnsi="Calibri"/>
                <w:b/>
                <w:i w:val="0"/>
                <w:color w:val="003372"/>
                <w:sz w:val="23"/>
              </w:rPr>
              <w:t>02</w:t>
            </w:r>
          </w:p>
        </w:tc>
        <w:tc>
          <w:tcPr>
            <w:tcW w:type="dxa" w:w="8669"/>
            <w:shd w:val="clear" w:color="auto" w:fill="00337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ind w:left="200"/>
            </w:pPr>
            <w:r>
              <w:rPr>
                <w:rFonts w:ascii="Calibri" w:hAnsi="Calibri"/>
                <w:b/>
                <w:i w:val="0"/>
                <w:color w:val="FFFFFF"/>
                <w:sz w:val="23"/>
              </w:rPr>
              <w:t>What is SWIFT?</w:t>
            </w:r>
          </w:p>
        </w:tc>
      </w:tr>
    </w:tbl>
    <w:p>
      <w:pPr>
        <w:spacing w:before="80" w:after="80"/>
      </w:pPr>
    </w:p>
    <w:tbl>
      <w:tblPr>
        <w:tblW w:type="auto" w:w="0"/>
        <w:jc w:val="left"/>
        <w:tblLook w:firstColumn="1" w:firstRow="1" w:lastColumn="0" w:lastRow="0" w:noHBand="0" w:noVBand="1" w:val="04A0"/>
      </w:tblPr>
      <w:tblGrid>
        <w:gridCol w:w="9317"/>
      </w:tblGrid>
      <w:tr>
        <w:tc>
          <w:tcPr>
            <w:tcW w:type="dxa" w:w="9317"/>
            <w:shd w:val="clear" w:color="auto" w:fill="F4F6F8"/>
            <w:tcBorders>
              <w:top w:val="none" w:sz="0" w:space="0" w:color="auto"/>
              <w:right w:val="none" w:sz="0" w:space="0" w:color="auto"/>
              <w:bottom w:val="none" w:sz="0" w:space="0" w:color="auto"/>
              <w:left w:val="single" w:sz="18" w:space="0" w:color="F0A000"/>
            </w:tcBorders>
          </w:tcPr>
          <w:p>
            <w:pPr>
              <w:spacing w:before="160" w:after="160"/>
              <w:ind w:left="280"/>
              <w:jc w:val="left"/>
            </w:pPr>
            <w:r>
              <w:rPr>
                <w:rFonts w:ascii="Calibri" w:hAnsi="Calibri"/>
                <w:b w:val="0"/>
                <w:i/>
                <w:color w:val="003372"/>
                <w:sz w:val="24"/>
              </w:rPr>
              <w:t>“ SWIFT does not move money. It moves messages — secure instructions that tell banks to move money. ”</w:t>
            </w:r>
          </w:p>
        </w:tc>
      </w:tr>
    </w:tbl>
    <w:p>
      <w:pPr>
        <w:spacing w:before="80" w:after="80"/>
      </w:pPr>
    </w:p>
    <w:p>
      <w:pPr>
        <w:spacing w:before="60" w:after="100"/>
      </w:pPr>
      <w:r>
        <w:rPr>
          <w:rFonts w:ascii="Calibri" w:hAnsi="Calibri"/>
          <w:b w:val="0"/>
          <w:i w:val="0"/>
          <w:color w:val="222222"/>
          <w:sz w:val="21"/>
        </w:rPr>
        <w:t>SWIFT (Society for Worldwide Interbank Financial Telecommunication) is a member-owned cooperative headquartered in Belgium. It operates a private, encrypted network — SWIFTNet — connecting over 11,000 financial institutions in 200+ countries. Every day, 44 million messages flow across it, representing over $5 trillion in transactions.</w:t>
      </w:r>
    </w:p>
    <w:p>
      <w:pPr>
        <w:spacing w:before="80" w:after="80"/>
      </w:pPr>
    </w:p>
    <w:tbl>
      <w:tblPr>
        <w:tblW w:type="auto" w:w="0"/>
        <w:jc w:val="left"/>
        <w:tblLook w:firstColumn="1" w:firstRow="1" w:lastColumn="0" w:lastRow="0" w:noHBand="0" w:noVBand="1" w:val="04A0"/>
      </w:tblPr>
      <w:tblGrid>
        <w:gridCol w:w="2329"/>
        <w:gridCol w:w="2329"/>
        <w:gridCol w:w="2329"/>
        <w:gridCol w:w="2329"/>
      </w:tblGrid>
      <w:tr>
        <w:tc>
          <w:tcPr>
            <w:tcW w:type="dxa" w:w="2329"/>
            <w:shd w:val="clear" w:color="auto" w:fill="00337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40"/>
              <w:jc w:val="center"/>
            </w:pPr>
            <w:r>
              <w:rPr>
                <w:rFonts w:ascii="Calibri" w:hAnsi="Calibri"/>
                <w:b/>
                <w:i w:val="0"/>
                <w:color w:val="FFFFFF"/>
                <w:sz w:val="34"/>
              </w:rPr>
              <w:t>11,000+</w:t>
            </w:r>
          </w:p>
          <w:p>
            <w:pPr>
              <w:spacing w:after="160"/>
              <w:jc w:val="center"/>
            </w:pPr>
            <w:r>
              <w:rPr>
                <w:rFonts w:ascii="Calibri" w:hAnsi="Calibri"/>
                <w:b w:val="0"/>
                <w:i/>
                <w:color w:val="E9C46A"/>
                <w:sz w:val="15"/>
              </w:rPr>
              <w:t>Banks connected</w:t>
            </w:r>
          </w:p>
        </w:tc>
        <w:tc>
          <w:tcPr>
            <w:tcW w:type="dxa" w:w="2329"/>
            <w:shd w:val="clear" w:color="auto" w:fill="0070C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40"/>
              <w:jc w:val="center"/>
            </w:pPr>
            <w:r>
              <w:rPr>
                <w:rFonts w:ascii="Calibri" w:hAnsi="Calibri"/>
                <w:b/>
                <w:i w:val="0"/>
                <w:color w:val="FFFFFF"/>
                <w:sz w:val="34"/>
              </w:rPr>
              <w:t>44 M</w:t>
            </w:r>
          </w:p>
          <w:p>
            <w:pPr>
              <w:spacing w:after="160"/>
              <w:jc w:val="center"/>
            </w:pPr>
            <w:r>
              <w:rPr>
                <w:rFonts w:ascii="Calibri" w:hAnsi="Calibri"/>
                <w:b w:val="0"/>
                <w:i/>
                <w:color w:val="E9C46A"/>
                <w:sz w:val="15"/>
              </w:rPr>
              <w:t>Messages / day</w:t>
            </w:r>
          </w:p>
        </w:tc>
        <w:tc>
          <w:tcPr>
            <w:tcW w:type="dxa" w:w="2329"/>
            <w:shd w:val="clear" w:color="auto" w:fill="007A4C"/>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40"/>
              <w:jc w:val="center"/>
            </w:pPr>
            <w:r>
              <w:rPr>
                <w:rFonts w:ascii="Calibri" w:hAnsi="Calibri"/>
                <w:b/>
                <w:i w:val="0"/>
                <w:color w:val="FFFFFF"/>
                <w:sz w:val="34"/>
              </w:rPr>
              <w:t>$5 T+</w:t>
            </w:r>
          </w:p>
          <w:p>
            <w:pPr>
              <w:spacing w:after="160"/>
              <w:jc w:val="center"/>
            </w:pPr>
            <w:r>
              <w:rPr>
                <w:rFonts w:ascii="Calibri" w:hAnsi="Calibri"/>
                <w:b w:val="0"/>
                <w:i/>
                <w:color w:val="E9C46A"/>
                <w:sz w:val="15"/>
              </w:rPr>
              <w:t>Daily transaction value</w:t>
            </w:r>
          </w:p>
        </w:tc>
        <w:tc>
          <w:tcPr>
            <w:tcW w:type="dxa" w:w="2329"/>
            <w:shd w:val="clear" w:color="auto" w:fill="008B8B"/>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40"/>
              <w:jc w:val="center"/>
            </w:pPr>
            <w:r>
              <w:rPr>
                <w:rFonts w:ascii="Calibri" w:hAnsi="Calibri"/>
                <w:b/>
                <w:i w:val="0"/>
                <w:color w:val="FFFFFF"/>
                <w:sz w:val="34"/>
              </w:rPr>
              <w:t>200+</w:t>
            </w:r>
          </w:p>
          <w:p>
            <w:pPr>
              <w:spacing w:after="160"/>
              <w:jc w:val="center"/>
            </w:pPr>
            <w:r>
              <w:rPr>
                <w:rFonts w:ascii="Calibri" w:hAnsi="Calibri"/>
                <w:b w:val="0"/>
                <w:i/>
                <w:color w:val="E9C46A"/>
                <w:sz w:val="15"/>
              </w:rPr>
              <w:t>Countries covered</w:t>
            </w:r>
          </w:p>
        </w:tc>
      </w:tr>
    </w:tbl>
    <w:p>
      <w:pPr>
        <w:spacing w:before="120" w:after="120"/>
      </w:pPr>
    </w:p>
    <w:p>
      <w:pPr>
        <w:spacing w:before="200" w:after="60"/>
      </w:pPr>
      <w:r>
        <w:rPr>
          <w:rFonts w:ascii="Calibri" w:hAnsi="Calibri"/>
          <w:b/>
          <w:i w:val="0"/>
          <w:color w:val="003372"/>
          <w:sz w:val="23"/>
        </w:rPr>
        <w:t>The BIC Code — A Bank's Global Address</w:t>
      </w:r>
    </w:p>
    <w:p>
      <w:pPr>
        <w:spacing w:before="60" w:after="100"/>
      </w:pPr>
      <w:r>
        <w:rPr>
          <w:rFonts w:ascii="Calibri" w:hAnsi="Calibri"/>
          <w:b w:val="0"/>
          <w:i w:val="0"/>
          <w:color w:val="222222"/>
          <w:sz w:val="21"/>
        </w:rPr>
        <w:t>Every SWIFT member has a Bank Identifier Code (BIC) — an 8 or 11-character code that uniquely identifies it on the network. Think of it as the bank's email address. You cannot send a payment without it.</w:t>
      </w:r>
    </w:p>
    <w:p>
      <w:pPr>
        <w:spacing w:before="60" w:after="60"/>
      </w:pPr>
    </w:p>
    <w:tbl>
      <w:tblPr>
        <w:tblW w:type="auto" w:w="0"/>
        <w:jc w:val="left"/>
        <w:tblLook w:firstColumn="1" w:firstRow="1" w:lastColumn="0" w:lastRow="0" w:noHBand="0" w:noVBand="1" w:val="04A0"/>
      </w:tblPr>
      <w:tblGrid>
        <w:gridCol w:w="9317"/>
      </w:tblGrid>
      <w:tr>
        <w:tc>
          <w:tcPr>
            <w:tcW w:type="dxa" w:w="9317"/>
            <w:shd w:val="clear" w:color="auto" w:fill="E8F0FE"/>
            <w:tcBorders>
              <w:top w:val="single" w:sz="6" w:space="0" w:color="0070C0"/>
              <w:left w:val="single" w:sz="6" w:space="0" w:color="0070C0"/>
              <w:bottom w:val="single" w:sz="6" w:space="0" w:color="0070C0"/>
              <w:right w:val="single" w:sz="6" w:space="0" w:color="0070C0"/>
            </w:tcBorders>
          </w:tcPr>
          <w:p>
            <w:pPr>
              <w:spacing w:before="200" w:after="80"/>
              <w:jc w:val="center"/>
            </w:pPr>
            <w:r>
              <w:rPr>
                <w:rFonts w:ascii="Calibri" w:hAnsi="Calibri"/>
                <w:b w:val="0"/>
                <w:i w:val="0"/>
                <w:color w:val="003372"/>
                <w:sz w:val="28"/>
              </w:rPr>
              <w:t xml:space="preserve">📊  </w:t>
            </w:r>
            <w:r>
              <w:rPr>
                <w:rFonts w:ascii="Calibri" w:hAnsi="Calibri"/>
                <w:b/>
                <w:i w:val="0"/>
                <w:color w:val="0070C0"/>
                <w:sz w:val="19"/>
              </w:rPr>
              <w:t xml:space="preserve">See Diagram: </w:t>
            </w:r>
            <w:r>
              <w:rPr>
                <w:rFonts w:ascii="Courier New" w:hAnsi="Courier New"/>
                <w:b/>
                <w:i w:val="0"/>
                <w:color w:val="003372"/>
                <w:sz w:val="19"/>
              </w:rPr>
              <w:t>SWIFT-01-BIC-Code.drawio</w:t>
            </w:r>
          </w:p>
          <w:p>
            <w:pPr>
              <w:spacing w:after="200"/>
              <w:jc w:val="center"/>
            </w:pPr>
            <w:r>
              <w:rPr>
                <w:rFonts w:ascii="Calibri" w:hAnsi="Calibri"/>
                <w:b w:val="0"/>
                <w:i/>
                <w:color w:val="445566"/>
                <w:sz w:val="17"/>
              </w:rPr>
              <w:t>BIC code anatomy — four components, colour-coded</w:t>
            </w:r>
          </w:p>
        </w:tc>
      </w:tr>
    </w:tbl>
    <w:p>
      <w:pPr>
        <w:spacing w:before="80" w:after="80"/>
      </w:pPr>
    </w:p>
    <w:p>
      <w:pPr>
        <w:pBdr>
          <w:bottom w:val="single" w:sz="6" w:space="1" w:color="BFBFBF"/>
        </w:pBdr>
        <w:spacing w:before="160" w:after="160"/>
      </w:pPr>
    </w:p>
    <w:tbl>
      <w:tblPr>
        <w:tblW w:type="auto" w:w="0"/>
        <w:jc w:val="left"/>
        <w:tblLook w:firstColumn="1" w:firstRow="1" w:lastColumn="0" w:lastRow="0" w:noHBand="0" w:noVBand="1" w:val="04A0"/>
      </w:tblPr>
      <w:tblGrid>
        <w:gridCol w:w="4658"/>
        <w:gridCol w:w="4658"/>
      </w:tblGrid>
      <w:tr>
        <w:tc>
          <w:tcPr>
            <w:tcW w:type="dxa" w:w="648"/>
            <w:shd w:val="clear" w:color="auto" w:fill="F0A00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jc w:val="center"/>
            </w:pPr>
            <w:r>
              <w:rPr>
                <w:rFonts w:ascii="Calibri" w:hAnsi="Calibri"/>
                <w:b/>
                <w:i w:val="0"/>
                <w:color w:val="003372"/>
                <w:sz w:val="23"/>
              </w:rPr>
              <w:t>03</w:t>
            </w:r>
          </w:p>
        </w:tc>
        <w:tc>
          <w:tcPr>
            <w:tcW w:type="dxa" w:w="8669"/>
            <w:shd w:val="clear" w:color="auto" w:fill="00337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ind w:left="200"/>
            </w:pPr>
            <w:r>
              <w:rPr>
                <w:rFonts w:ascii="Calibri" w:hAnsi="Calibri"/>
                <w:b/>
                <w:i w:val="0"/>
                <w:color w:val="FFFFFF"/>
                <w:sz w:val="23"/>
              </w:rPr>
              <w:t>How a Cross-Border Payment Travels</w:t>
            </w:r>
          </w:p>
        </w:tc>
      </w:tr>
    </w:tbl>
    <w:p>
      <w:pPr>
        <w:spacing w:before="80" w:after="80"/>
      </w:pPr>
    </w:p>
    <w:p>
      <w:pPr>
        <w:spacing w:before="60" w:after="100"/>
      </w:pPr>
      <w:r>
        <w:rPr>
          <w:rFonts w:ascii="Calibri" w:hAnsi="Calibri"/>
          <w:b w:val="0"/>
          <w:i w:val="0"/>
          <w:color w:val="222222"/>
          <w:sz w:val="21"/>
        </w:rPr>
        <w:t>Follow £27,000 from London to Tokyo. Every hop is a SWIFT message — no money physically crosses any border.</w:t>
      </w:r>
    </w:p>
    <w:p>
      <w:pPr>
        <w:spacing w:before="80" w:after="80"/>
      </w:pPr>
    </w:p>
    <w:tbl>
      <w:tblPr>
        <w:tblW w:type="auto" w:w="0"/>
        <w:jc w:val="left"/>
        <w:tblLook w:firstColumn="1" w:firstRow="1" w:lastColumn="0" w:lastRow="0" w:noHBand="0" w:noVBand="1" w:val="04A0"/>
      </w:tblPr>
      <w:tblGrid>
        <w:gridCol w:w="1035"/>
        <w:gridCol w:w="1035"/>
        <w:gridCol w:w="1035"/>
        <w:gridCol w:w="1035"/>
        <w:gridCol w:w="1035"/>
        <w:gridCol w:w="1035"/>
        <w:gridCol w:w="1035"/>
        <w:gridCol w:w="1035"/>
        <w:gridCol w:w="1035"/>
      </w:tblGrid>
      <w:tr>
        <w:tc>
          <w:tcPr>
            <w:tcW w:type="dxa" w:w="1610"/>
            <w:shd w:val="clear" w:color="auto" w:fill="2C3E5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60"/>
              <w:jc w:val="center"/>
            </w:pPr>
            <w:r>
              <w:rPr>
                <w:rFonts w:ascii="Calibri" w:hAnsi="Calibri"/>
                <w:b/>
                <w:i w:val="0"/>
                <w:color w:val="FFFFFF"/>
                <w:sz w:val="17"/>
              </w:rPr>
              <w:t>YOU</w:t>
              <w:br/>
              <w:t>London</w:t>
            </w:r>
          </w:p>
          <w:p>
            <w:pPr>
              <w:spacing w:after="140"/>
              <w:jc w:val="center"/>
            </w:pPr>
            <w:r>
              <w:rPr>
                <w:rFonts w:ascii="Calibri" w:hAnsi="Calibri"/>
                <w:b w:val="0"/>
                <w:i/>
                <w:color w:val="E9C46A"/>
                <w:sz w:val="15"/>
              </w:rPr>
              <w:t>Payment instruction</w:t>
            </w:r>
          </w:p>
        </w:tc>
        <w:tc>
          <w:tcPr>
            <w:tcW w:type="dxa" w:w="317"/>
            <w:shd w:val="clear" w:color="auto" w:fill="FFFF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jc w:val="center"/>
            </w:pPr>
            <w:r>
              <w:rPr>
                <w:rFonts w:ascii="Calibri" w:hAnsi="Calibri"/>
                <w:b/>
                <w:i w:val="0"/>
                <w:color w:val="F0A000"/>
                <w:sz w:val="24"/>
              </w:rPr>
              <w:t>▶</w:t>
            </w:r>
          </w:p>
        </w:tc>
        <w:tc>
          <w:tcPr>
            <w:tcW w:type="dxa" w:w="1610"/>
            <w:shd w:val="clear" w:color="auto" w:fill="00337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60"/>
              <w:jc w:val="center"/>
            </w:pPr>
            <w:r>
              <w:rPr>
                <w:rFonts w:ascii="Calibri" w:hAnsi="Calibri"/>
                <w:b/>
                <w:i w:val="0"/>
                <w:color w:val="FFFFFF"/>
                <w:sz w:val="17"/>
              </w:rPr>
              <w:t>BARCLAYS</w:t>
              <w:br/>
              <w:t>BARCGB22</w:t>
            </w:r>
          </w:p>
          <w:p>
            <w:pPr>
              <w:spacing w:after="140"/>
              <w:jc w:val="center"/>
            </w:pPr>
            <w:r>
              <w:rPr>
                <w:rFonts w:ascii="Calibri" w:hAnsi="Calibri"/>
                <w:b w:val="0"/>
                <w:i/>
                <w:color w:val="E9C46A"/>
                <w:sz w:val="15"/>
              </w:rPr>
              <w:t>Ordering Bank</w:t>
            </w:r>
          </w:p>
        </w:tc>
        <w:tc>
          <w:tcPr>
            <w:tcW w:type="dxa" w:w="317"/>
            <w:shd w:val="clear" w:color="auto" w:fill="FFFF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jc w:val="center"/>
            </w:pPr>
            <w:r>
              <w:rPr>
                <w:rFonts w:ascii="Calibri" w:hAnsi="Calibri"/>
                <w:b/>
                <w:i w:val="0"/>
                <w:color w:val="F0A000"/>
                <w:sz w:val="24"/>
              </w:rPr>
              <w:t>▶</w:t>
            </w:r>
          </w:p>
        </w:tc>
        <w:tc>
          <w:tcPr>
            <w:tcW w:type="dxa" w:w="1610"/>
            <w:shd w:val="clear" w:color="auto" w:fill="0070C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60"/>
              <w:jc w:val="center"/>
            </w:pPr>
            <w:r>
              <w:rPr>
                <w:rFonts w:ascii="Calibri" w:hAnsi="Calibri"/>
                <w:b/>
                <w:i w:val="0"/>
                <w:color w:val="FFFFFF"/>
                <w:sz w:val="17"/>
              </w:rPr>
              <w:t>JP MORGAN</w:t>
              <w:br/>
              <w:t>CHASUS33</w:t>
            </w:r>
          </w:p>
          <w:p>
            <w:pPr>
              <w:spacing w:after="140"/>
              <w:jc w:val="center"/>
            </w:pPr>
            <w:r>
              <w:rPr>
                <w:rFonts w:ascii="Calibri" w:hAnsi="Calibri"/>
                <w:b w:val="0"/>
                <w:i/>
                <w:color w:val="E9C46A"/>
                <w:sz w:val="15"/>
              </w:rPr>
              <w:t>Correspondent Bank</w:t>
            </w:r>
          </w:p>
        </w:tc>
        <w:tc>
          <w:tcPr>
            <w:tcW w:type="dxa" w:w="317"/>
            <w:shd w:val="clear" w:color="auto" w:fill="FFFF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jc w:val="center"/>
            </w:pPr>
            <w:r>
              <w:rPr>
                <w:rFonts w:ascii="Calibri" w:hAnsi="Calibri"/>
                <w:b/>
                <w:i w:val="0"/>
                <w:color w:val="F0A000"/>
                <w:sz w:val="24"/>
              </w:rPr>
              <w:t>▶</w:t>
            </w:r>
          </w:p>
        </w:tc>
        <w:tc>
          <w:tcPr>
            <w:tcW w:type="dxa" w:w="1610"/>
            <w:shd w:val="clear" w:color="auto" w:fill="007A4C"/>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60"/>
              <w:jc w:val="center"/>
            </w:pPr>
            <w:r>
              <w:rPr>
                <w:rFonts w:ascii="Calibri" w:hAnsi="Calibri"/>
                <w:b/>
                <w:i w:val="0"/>
                <w:color w:val="FFFFFF"/>
                <w:sz w:val="17"/>
              </w:rPr>
              <w:t>MIZUHO</w:t>
              <w:br/>
              <w:t>MHCBJPJT</w:t>
            </w:r>
          </w:p>
          <w:p>
            <w:pPr>
              <w:spacing w:after="140"/>
              <w:jc w:val="center"/>
            </w:pPr>
            <w:r>
              <w:rPr>
                <w:rFonts w:ascii="Calibri" w:hAnsi="Calibri"/>
                <w:b w:val="0"/>
                <w:i/>
                <w:color w:val="E9C46A"/>
                <w:sz w:val="15"/>
              </w:rPr>
              <w:t>Beneficiary Bank</w:t>
            </w:r>
          </w:p>
        </w:tc>
        <w:tc>
          <w:tcPr>
            <w:tcW w:type="dxa" w:w="317"/>
            <w:shd w:val="clear" w:color="auto" w:fill="FFFF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jc w:val="center"/>
            </w:pPr>
            <w:r>
              <w:rPr>
                <w:rFonts w:ascii="Calibri" w:hAnsi="Calibri"/>
                <w:b/>
                <w:i w:val="0"/>
                <w:color w:val="F0A000"/>
                <w:sz w:val="24"/>
              </w:rPr>
              <w:t>▶</w:t>
            </w:r>
          </w:p>
        </w:tc>
        <w:tc>
          <w:tcPr>
            <w:tcW w:type="dxa" w:w="1610"/>
            <w:shd w:val="clear" w:color="auto" w:fill="D46A0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60"/>
              <w:jc w:val="center"/>
            </w:pPr>
            <w:r>
              <w:rPr>
                <w:rFonts w:ascii="Calibri" w:hAnsi="Calibri"/>
                <w:b/>
                <w:i w:val="0"/>
                <w:color w:val="FFFFFF"/>
                <w:sz w:val="17"/>
              </w:rPr>
              <w:t>SUPPLIER</w:t>
              <w:br/>
              <w:t>Tokyo</w:t>
            </w:r>
          </w:p>
          <w:p>
            <w:pPr>
              <w:spacing w:after="140"/>
              <w:jc w:val="center"/>
            </w:pPr>
            <w:r>
              <w:rPr>
                <w:rFonts w:ascii="Calibri" w:hAnsi="Calibri"/>
                <w:b w:val="0"/>
                <w:i/>
                <w:color w:val="E9C46A"/>
                <w:sz w:val="15"/>
              </w:rPr>
              <w:t>Funds credited</w:t>
            </w:r>
          </w:p>
        </w:tc>
      </w:tr>
    </w:tbl>
    <w:p>
      <w:pPr>
        <w:spacing w:before="80" w:after="80"/>
      </w:pPr>
    </w:p>
    <w:p>
      <w:pPr>
        <w:spacing w:before="60" w:after="100"/>
      </w:pPr>
      <w:r>
        <w:rPr>
          <w:rFonts w:ascii="Calibri" w:hAnsi="Calibri"/>
          <w:b w:val="0"/>
          <w:i w:val="0"/>
          <w:color w:val="222222"/>
          <w:sz w:val="20"/>
        </w:rPr>
        <w:t>What happens at each step:</w:t>
      </w:r>
    </w:p>
    <w:p>
      <w:pPr>
        <w:spacing w:before="40" w:after="40"/>
      </w:pPr>
    </w:p>
    <w:p>
      <w:pPr>
        <w:spacing w:before="60" w:after="60"/>
        <w:ind w:left="200"/>
      </w:pPr>
      <w:r>
        <w:rPr>
          <w:rFonts w:ascii="Calibri" w:hAnsi="Calibri"/>
          <w:b/>
          <w:i w:val="0"/>
          <w:color w:val="F0A000"/>
          <w:sz w:val="22"/>
        </w:rPr>
        <w:t xml:space="preserve">①  </w:t>
      </w:r>
      <w:r>
        <w:rPr>
          <w:rFonts w:ascii="Calibri" w:hAnsi="Calibri"/>
          <w:b/>
          <w:i w:val="0"/>
          <w:color w:val="003372"/>
          <w:sz w:val="20"/>
        </w:rPr>
        <w:t xml:space="preserve">You instruct your bank.  </w:t>
      </w:r>
      <w:r>
        <w:rPr>
          <w:rFonts w:ascii="Calibri" w:hAnsi="Calibri"/>
          <w:b w:val="0"/>
          <w:i w:val="0"/>
          <w:color w:val="222222"/>
          <w:sz w:val="19"/>
        </w:rPr>
        <w:t>You initiate the transfer in your banking app — amount, beneficiary BIC, account number.</w:t>
      </w:r>
    </w:p>
    <w:p>
      <w:pPr>
        <w:spacing w:before="60" w:after="60"/>
        <w:ind w:left="200"/>
      </w:pPr>
      <w:r>
        <w:rPr>
          <w:rFonts w:ascii="Calibri" w:hAnsi="Calibri"/>
          <w:b/>
          <w:i w:val="0"/>
          <w:color w:val="F0A000"/>
          <w:sz w:val="22"/>
        </w:rPr>
        <w:t xml:space="preserve">②  </w:t>
      </w:r>
      <w:r>
        <w:rPr>
          <w:rFonts w:ascii="Calibri" w:hAnsi="Calibri"/>
          <w:b/>
          <w:i w:val="0"/>
          <w:color w:val="003372"/>
          <w:sz w:val="20"/>
        </w:rPr>
        <w:t xml:space="preserve">Barclays sends a SWIFT MT103.  </w:t>
      </w:r>
      <w:r>
        <w:rPr>
          <w:rFonts w:ascii="Calibri" w:hAnsi="Calibri"/>
          <w:b w:val="0"/>
          <w:i w:val="0"/>
          <w:color w:val="222222"/>
          <w:sz w:val="19"/>
        </w:rPr>
        <w:t>An MT103 (Customer Credit Transfer) message flies to JP Morgan — Barclays' USD correspondent — via the SWIFTNet private network.</w:t>
      </w:r>
    </w:p>
    <w:p>
      <w:pPr>
        <w:spacing w:before="60" w:after="60"/>
        <w:ind w:left="200"/>
      </w:pPr>
      <w:r>
        <w:rPr>
          <w:rFonts w:ascii="Calibri" w:hAnsi="Calibri"/>
          <w:b/>
          <w:i w:val="0"/>
          <w:color w:val="F0A000"/>
          <w:sz w:val="22"/>
        </w:rPr>
        <w:t xml:space="preserve">③  </w:t>
      </w:r>
      <w:r>
        <w:rPr>
          <w:rFonts w:ascii="Calibri" w:hAnsi="Calibri"/>
          <w:b/>
          <w:i w:val="0"/>
          <w:color w:val="003372"/>
          <w:sz w:val="20"/>
        </w:rPr>
        <w:t xml:space="preserve">JP Morgan routes onward.  </w:t>
      </w:r>
      <w:r>
        <w:rPr>
          <w:rFonts w:ascii="Calibri" w:hAnsi="Calibri"/>
          <w:b w:val="0"/>
          <w:i w:val="0"/>
          <w:color w:val="222222"/>
          <w:sz w:val="19"/>
        </w:rPr>
        <w:t>JP Morgan debits Barclays' pre-funded account (Nostro account) and sends another MT103 to Mizuho in Tokyo.</w:t>
      </w:r>
    </w:p>
    <w:p>
      <w:pPr>
        <w:spacing w:before="60" w:after="60"/>
        <w:ind w:left="200"/>
      </w:pPr>
      <w:r>
        <w:rPr>
          <w:rFonts w:ascii="Calibri" w:hAnsi="Calibri"/>
          <w:b/>
          <w:i w:val="0"/>
          <w:color w:val="F0A000"/>
          <w:sz w:val="22"/>
        </w:rPr>
        <w:t xml:space="preserve">④  </w:t>
      </w:r>
      <w:r>
        <w:rPr>
          <w:rFonts w:ascii="Calibri" w:hAnsi="Calibri"/>
          <w:b/>
          <w:i w:val="0"/>
          <w:color w:val="003372"/>
          <w:sz w:val="20"/>
        </w:rPr>
        <w:t xml:space="preserve">Mizuho credits the supplier.  </w:t>
      </w:r>
      <w:r>
        <w:rPr>
          <w:rFonts w:ascii="Calibri" w:hAnsi="Calibri"/>
          <w:b w:val="0"/>
          <w:i w:val="0"/>
          <w:color w:val="222222"/>
          <w:sz w:val="19"/>
        </w:rPr>
        <w:t>Mizuho receives the message, converts to JPY, and deposits funds into the supplier's account.</w:t>
      </w:r>
    </w:p>
    <w:p>
      <w:pPr>
        <w:spacing w:before="60" w:after="60"/>
        <w:ind w:left="200"/>
      </w:pPr>
      <w:r>
        <w:rPr>
          <w:rFonts w:ascii="Calibri" w:hAnsi="Calibri"/>
          <w:b/>
          <w:i w:val="0"/>
          <w:color w:val="F0A000"/>
          <w:sz w:val="22"/>
        </w:rPr>
        <w:t xml:space="preserve">⑤  </w:t>
      </w:r>
      <w:r>
        <w:rPr>
          <w:rFonts w:ascii="Calibri" w:hAnsi="Calibri"/>
          <w:b/>
          <w:i w:val="0"/>
          <w:color w:val="003372"/>
          <w:sz w:val="20"/>
        </w:rPr>
        <w:t xml:space="preserve">Statements reconcile the books.  </w:t>
      </w:r>
      <w:r>
        <w:rPr>
          <w:rFonts w:ascii="Calibri" w:hAnsi="Calibri"/>
          <w:b w:val="0"/>
          <w:i w:val="0"/>
          <w:color w:val="222222"/>
          <w:sz w:val="19"/>
        </w:rPr>
        <w:t>At end-of-day, Mizuho sends an MT940 account statement back to Barclays confirming every movement.</w:t>
      </w:r>
    </w:p>
    <w:p>
      <w:pPr>
        <w:spacing w:before="80" w:after="80"/>
      </w:pPr>
    </w:p>
    <w:tbl>
      <w:tblPr>
        <w:tblW w:type="auto" w:w="0"/>
        <w:jc w:val="left"/>
        <w:tblLook w:firstColumn="1" w:firstRow="1" w:lastColumn="0" w:lastRow="0" w:noHBand="0" w:noVBand="1" w:val="04A0"/>
      </w:tblPr>
      <w:tblGrid>
        <w:gridCol w:w="4658"/>
        <w:gridCol w:w="4658"/>
      </w:tblGrid>
      <w:tr>
        <w:tc>
          <w:tcPr>
            <w:tcW w:type="dxa" w:w="1181"/>
            <w:shd w:val="clear" w:color="auto" w:fill="00337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Calibri" w:hAnsi="Calibri"/>
                <w:b/>
                <w:i w:val="0"/>
                <w:color w:val="FFFFFF"/>
                <w:sz w:val="17"/>
              </w:rPr>
              <w:t>KEY INSIGHT</w:t>
            </w:r>
          </w:p>
        </w:tc>
        <w:tc>
          <w:tcPr>
            <w:tcW w:type="dxa" w:w="8136"/>
            <w:shd w:val="clear" w:color="auto" w:fill="F4F6F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ind w:left="160"/>
            </w:pPr>
            <w:r>
              <w:rPr>
                <w:rFonts w:ascii="Calibri" w:hAnsi="Calibri"/>
                <w:b w:val="0"/>
                <w:i w:val="0"/>
                <w:color w:val="222222"/>
                <w:sz w:val="19"/>
              </w:rPr>
              <w:t>No money physically crosses borders. What moves are SWIFT messages — instructions to debit and credit Nostro accounts that banks already hold at each other. The £27,000 never leaves the banking system; it is simply re-assigned.</w:t>
            </w:r>
          </w:p>
        </w:tc>
      </w:tr>
    </w:tbl>
    <w:p>
      <w:pPr>
        <w:spacing w:before="80" w:after="80"/>
      </w:pPr>
    </w:p>
    <w:tbl>
      <w:tblPr>
        <w:tblW w:type="auto" w:w="0"/>
        <w:jc w:val="left"/>
        <w:tblLook w:firstColumn="1" w:firstRow="1" w:lastColumn="0" w:lastRow="0" w:noHBand="0" w:noVBand="1" w:val="04A0"/>
      </w:tblPr>
      <w:tblGrid>
        <w:gridCol w:w="9317"/>
      </w:tblGrid>
      <w:tr>
        <w:tc>
          <w:tcPr>
            <w:tcW w:type="dxa" w:w="9317"/>
            <w:shd w:val="clear" w:color="auto" w:fill="E8F0FE"/>
            <w:tcBorders>
              <w:top w:val="single" w:sz="6" w:space="0" w:color="0070C0"/>
              <w:left w:val="single" w:sz="6" w:space="0" w:color="0070C0"/>
              <w:bottom w:val="single" w:sz="6" w:space="0" w:color="0070C0"/>
              <w:right w:val="single" w:sz="6" w:space="0" w:color="0070C0"/>
            </w:tcBorders>
          </w:tcPr>
          <w:p>
            <w:pPr>
              <w:spacing w:before="200" w:after="80"/>
              <w:jc w:val="center"/>
            </w:pPr>
            <w:r>
              <w:rPr>
                <w:rFonts w:ascii="Calibri" w:hAnsi="Calibri"/>
                <w:b w:val="0"/>
                <w:i w:val="0"/>
                <w:color w:val="003372"/>
                <w:sz w:val="28"/>
              </w:rPr>
              <w:t xml:space="preserve">📊  </w:t>
            </w:r>
            <w:r>
              <w:rPr>
                <w:rFonts w:ascii="Calibri" w:hAnsi="Calibri"/>
                <w:b/>
                <w:i w:val="0"/>
                <w:color w:val="0070C0"/>
                <w:sz w:val="19"/>
              </w:rPr>
              <w:t xml:space="preserve">See Diagram: </w:t>
            </w:r>
            <w:r>
              <w:rPr>
                <w:rFonts w:ascii="Courier New" w:hAnsi="Courier New"/>
                <w:b/>
                <w:i w:val="0"/>
                <w:color w:val="003372"/>
                <w:sz w:val="19"/>
              </w:rPr>
              <w:t>SWIFT-02-Payment-Flow.drawio</w:t>
            </w:r>
          </w:p>
          <w:p>
            <w:pPr>
              <w:spacing w:after="200"/>
              <w:jc w:val="center"/>
            </w:pPr>
            <w:r>
              <w:rPr>
                <w:rFonts w:ascii="Calibri" w:hAnsi="Calibri"/>
                <w:b w:val="0"/>
                <w:i/>
                <w:color w:val="445566"/>
                <w:sz w:val="17"/>
              </w:rPr>
              <w:t>End-to-end payment journey with message labels and Nostro account illustration</w:t>
            </w:r>
          </w:p>
        </w:tc>
      </w:tr>
    </w:tbl>
    <w:p>
      <w:pPr>
        <w:spacing w:before="80" w:after="80"/>
      </w:pPr>
    </w:p>
    <w:p>
      <w:pPr>
        <w:pBdr>
          <w:bottom w:val="single" w:sz="6" w:space="1" w:color="BFBFBF"/>
        </w:pBdr>
        <w:spacing w:before="160" w:after="160"/>
      </w:pPr>
    </w:p>
    <w:tbl>
      <w:tblPr>
        <w:tblW w:type="auto" w:w="0"/>
        <w:jc w:val="left"/>
        <w:tblLook w:firstColumn="1" w:firstRow="1" w:lastColumn="0" w:lastRow="0" w:noHBand="0" w:noVBand="1" w:val="04A0"/>
      </w:tblPr>
      <w:tblGrid>
        <w:gridCol w:w="4658"/>
        <w:gridCol w:w="4658"/>
      </w:tblGrid>
      <w:tr>
        <w:tc>
          <w:tcPr>
            <w:tcW w:type="dxa" w:w="648"/>
            <w:shd w:val="clear" w:color="auto" w:fill="F0A00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jc w:val="center"/>
            </w:pPr>
            <w:r>
              <w:rPr>
                <w:rFonts w:ascii="Calibri" w:hAnsi="Calibri"/>
                <w:b/>
                <w:i w:val="0"/>
                <w:color w:val="003372"/>
                <w:sz w:val="23"/>
              </w:rPr>
              <w:t>04</w:t>
            </w:r>
          </w:p>
        </w:tc>
        <w:tc>
          <w:tcPr>
            <w:tcW w:type="dxa" w:w="8669"/>
            <w:shd w:val="clear" w:color="auto" w:fill="00337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ind w:left="200"/>
            </w:pPr>
            <w:r>
              <w:rPr>
                <w:rFonts w:ascii="Calibri" w:hAnsi="Calibri"/>
                <w:b/>
                <w:i w:val="0"/>
                <w:color w:val="FFFFFF"/>
                <w:sz w:val="23"/>
              </w:rPr>
              <w:t>The SWIFT Network — How It Stays Secure</w:t>
            </w:r>
          </w:p>
        </w:tc>
      </w:tr>
    </w:tbl>
    <w:p>
      <w:pPr>
        <w:spacing w:before="80" w:after="80"/>
      </w:pPr>
    </w:p>
    <w:p>
      <w:pPr>
        <w:spacing w:before="60" w:after="100"/>
      </w:pPr>
      <w:r>
        <w:rPr>
          <w:rFonts w:ascii="Calibri" w:hAnsi="Calibri"/>
          <w:b w:val="0"/>
          <w:i w:val="0"/>
          <w:color w:val="222222"/>
          <w:sz w:val="21"/>
        </w:rPr>
        <w:t>SWIFTNet is a private IP network — entirely separate from the public internet. Every message is digitally signed with PKI certificates (proving who sent it) and encrypted with TLS (so only the recipient can read it). SWIFT validates each message before delivery.</w:t>
      </w:r>
    </w:p>
    <w:p>
      <w:pPr>
        <w:spacing w:before="60" w:after="60"/>
      </w:pPr>
    </w:p>
    <w:tbl>
      <w:tblPr>
        <w:tblW w:type="auto" w:w="0"/>
        <w:jc w:val="left"/>
        <w:tblLook w:firstColumn="1" w:firstRow="1" w:lastColumn="0" w:lastRow="0" w:noHBand="0" w:noVBand="1" w:val="04A0"/>
      </w:tblPr>
      <w:tblGrid>
        <w:gridCol w:w="1035"/>
        <w:gridCol w:w="1035"/>
        <w:gridCol w:w="1035"/>
        <w:gridCol w:w="1035"/>
        <w:gridCol w:w="1035"/>
        <w:gridCol w:w="1035"/>
        <w:gridCol w:w="1035"/>
        <w:gridCol w:w="1035"/>
        <w:gridCol w:w="1035"/>
      </w:tblGrid>
      <w:tr>
        <w:tc>
          <w:tcPr>
            <w:tcW w:type="dxa" w:w="1610"/>
            <w:shd w:val="clear" w:color="auto" w:fill="2C3E5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60"/>
              <w:jc w:val="center"/>
            </w:pPr>
            <w:r>
              <w:rPr>
                <w:rFonts w:ascii="Calibri" w:hAnsi="Calibri"/>
                <w:b/>
                <w:i w:val="0"/>
                <w:color w:val="FFFFFF"/>
                <w:sz w:val="17"/>
              </w:rPr>
              <w:t>Compose</w:t>
              <w:br/>
              <w:t>Message</w:t>
            </w:r>
          </w:p>
          <w:p>
            <w:pPr>
              <w:spacing w:after="140"/>
              <w:jc w:val="center"/>
            </w:pPr>
            <w:r>
              <w:rPr>
                <w:rFonts w:ascii="Calibri" w:hAnsi="Calibri"/>
                <w:b w:val="0"/>
                <w:i/>
                <w:color w:val="E9C46A"/>
                <w:sz w:val="15"/>
              </w:rPr>
              <w:t>Bank operator</w:t>
            </w:r>
          </w:p>
        </w:tc>
        <w:tc>
          <w:tcPr>
            <w:tcW w:type="dxa" w:w="317"/>
            <w:shd w:val="clear" w:color="auto" w:fill="FFFF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jc w:val="center"/>
            </w:pPr>
            <w:r>
              <w:rPr>
                <w:rFonts w:ascii="Calibri" w:hAnsi="Calibri"/>
                <w:b/>
                <w:i w:val="0"/>
                <w:color w:val="F0A000"/>
                <w:sz w:val="24"/>
              </w:rPr>
              <w:t>▶</w:t>
            </w:r>
          </w:p>
        </w:tc>
        <w:tc>
          <w:tcPr>
            <w:tcW w:type="dxa" w:w="1610"/>
            <w:shd w:val="clear" w:color="auto" w:fill="00337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60"/>
              <w:jc w:val="center"/>
            </w:pPr>
            <w:r>
              <w:rPr>
                <w:rFonts w:ascii="Calibri" w:hAnsi="Calibri"/>
                <w:b/>
                <w:i w:val="0"/>
                <w:color w:val="FFFFFF"/>
                <w:sz w:val="17"/>
              </w:rPr>
              <w:t>Sign with</w:t>
              <w:br/>
              <w:t>PKI Key</w:t>
            </w:r>
          </w:p>
          <w:p>
            <w:pPr>
              <w:spacing w:after="140"/>
              <w:jc w:val="center"/>
            </w:pPr>
            <w:r>
              <w:rPr>
                <w:rFonts w:ascii="Calibri" w:hAnsi="Calibri"/>
                <w:b w:val="0"/>
                <w:i/>
                <w:color w:val="E9C46A"/>
                <w:sz w:val="15"/>
              </w:rPr>
              <w:t>Authentication</w:t>
            </w:r>
          </w:p>
        </w:tc>
        <w:tc>
          <w:tcPr>
            <w:tcW w:type="dxa" w:w="317"/>
            <w:shd w:val="clear" w:color="auto" w:fill="FFFF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jc w:val="center"/>
            </w:pPr>
            <w:r>
              <w:rPr>
                <w:rFonts w:ascii="Calibri" w:hAnsi="Calibri"/>
                <w:b/>
                <w:i w:val="0"/>
                <w:color w:val="F0A000"/>
                <w:sz w:val="24"/>
              </w:rPr>
              <w:t>▶</w:t>
            </w:r>
          </w:p>
        </w:tc>
        <w:tc>
          <w:tcPr>
            <w:tcW w:type="dxa" w:w="1610"/>
            <w:shd w:val="clear" w:color="auto" w:fill="0070C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60"/>
              <w:jc w:val="center"/>
            </w:pPr>
            <w:r>
              <w:rPr>
                <w:rFonts w:ascii="Calibri" w:hAnsi="Calibri"/>
                <w:b/>
                <w:i w:val="0"/>
                <w:color w:val="FFFFFF"/>
                <w:sz w:val="17"/>
              </w:rPr>
              <w:t>Encrypt</w:t>
              <w:br/>
              <w:t>TLS</w:t>
            </w:r>
          </w:p>
          <w:p>
            <w:pPr>
              <w:spacing w:after="140"/>
              <w:jc w:val="center"/>
            </w:pPr>
            <w:r>
              <w:rPr>
                <w:rFonts w:ascii="Calibri" w:hAnsi="Calibri"/>
                <w:b w:val="0"/>
                <w:i/>
                <w:color w:val="E9C46A"/>
                <w:sz w:val="15"/>
              </w:rPr>
              <w:t>Confidentiality</w:t>
            </w:r>
          </w:p>
        </w:tc>
        <w:tc>
          <w:tcPr>
            <w:tcW w:type="dxa" w:w="317"/>
            <w:shd w:val="clear" w:color="auto" w:fill="FFFF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jc w:val="center"/>
            </w:pPr>
            <w:r>
              <w:rPr>
                <w:rFonts w:ascii="Calibri" w:hAnsi="Calibri"/>
                <w:b/>
                <w:i w:val="0"/>
                <w:color w:val="F0A000"/>
                <w:sz w:val="24"/>
              </w:rPr>
              <w:t>▶</w:t>
            </w:r>
          </w:p>
        </w:tc>
        <w:tc>
          <w:tcPr>
            <w:tcW w:type="dxa" w:w="1610"/>
            <w:shd w:val="clear" w:color="auto" w:fill="007A4C"/>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60"/>
              <w:jc w:val="center"/>
            </w:pPr>
            <w:r>
              <w:rPr>
                <w:rFonts w:ascii="Calibri" w:hAnsi="Calibri"/>
                <w:b/>
                <w:i w:val="0"/>
                <w:color w:val="FFFFFF"/>
                <w:sz w:val="17"/>
              </w:rPr>
              <w:t>SWIFT</w:t>
              <w:br/>
              <w:t>Validates</w:t>
            </w:r>
          </w:p>
          <w:p>
            <w:pPr>
              <w:spacing w:after="140"/>
              <w:jc w:val="center"/>
            </w:pPr>
            <w:r>
              <w:rPr>
                <w:rFonts w:ascii="Calibri" w:hAnsi="Calibri"/>
                <w:b w:val="0"/>
                <w:i/>
                <w:color w:val="E9C46A"/>
                <w:sz w:val="15"/>
              </w:rPr>
              <w:t>SWIFTNet private</w:t>
            </w:r>
          </w:p>
        </w:tc>
        <w:tc>
          <w:tcPr>
            <w:tcW w:type="dxa" w:w="317"/>
            <w:shd w:val="clear" w:color="auto" w:fill="FFFFF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jc w:val="center"/>
            </w:pPr>
            <w:r>
              <w:rPr>
                <w:rFonts w:ascii="Calibri" w:hAnsi="Calibri"/>
                <w:b/>
                <w:i w:val="0"/>
                <w:color w:val="F0A000"/>
                <w:sz w:val="24"/>
              </w:rPr>
              <w:t>▶</w:t>
            </w:r>
          </w:p>
        </w:tc>
        <w:tc>
          <w:tcPr>
            <w:tcW w:type="dxa" w:w="1610"/>
            <w:shd w:val="clear" w:color="auto" w:fill="008B8B"/>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60"/>
              <w:jc w:val="center"/>
            </w:pPr>
            <w:r>
              <w:rPr>
                <w:rFonts w:ascii="Calibri" w:hAnsi="Calibri"/>
                <w:b/>
                <w:i w:val="0"/>
                <w:color w:val="FFFFFF"/>
                <w:sz w:val="17"/>
              </w:rPr>
              <w:t>Deliver +</w:t>
              <w:br/>
              <w:t>ACK/NAK</w:t>
            </w:r>
          </w:p>
          <w:p>
            <w:pPr>
              <w:spacing w:after="140"/>
              <w:jc w:val="center"/>
            </w:pPr>
            <w:r>
              <w:rPr>
                <w:rFonts w:ascii="Calibri" w:hAnsi="Calibri"/>
                <w:b w:val="0"/>
                <w:i/>
                <w:color w:val="E9C46A"/>
                <w:sz w:val="15"/>
              </w:rPr>
              <w:t>Confirmed</w:t>
            </w:r>
          </w:p>
        </w:tc>
      </w:tr>
    </w:tbl>
    <w:p>
      <w:pPr>
        <w:spacing w:before="80" w:after="80"/>
      </w:pPr>
    </w:p>
    <w:tbl>
      <w:tblPr>
        <w:tblW w:type="auto" w:w="0"/>
        <w:jc w:val="left"/>
        <w:tblLook w:firstColumn="1" w:firstRow="1" w:lastColumn="0" w:lastRow="0" w:noHBand="0" w:noVBand="1" w:val="04A0"/>
      </w:tblPr>
      <w:tblGrid>
        <w:gridCol w:w="9317"/>
      </w:tblGrid>
      <w:tr>
        <w:tc>
          <w:tcPr>
            <w:tcW w:type="dxa" w:w="9317"/>
            <w:shd w:val="clear" w:color="auto" w:fill="E8F0FE"/>
            <w:tcBorders>
              <w:top w:val="single" w:sz="6" w:space="0" w:color="0070C0"/>
              <w:left w:val="single" w:sz="6" w:space="0" w:color="0070C0"/>
              <w:bottom w:val="single" w:sz="6" w:space="0" w:color="0070C0"/>
              <w:right w:val="single" w:sz="6" w:space="0" w:color="0070C0"/>
            </w:tcBorders>
          </w:tcPr>
          <w:p>
            <w:pPr>
              <w:spacing w:before="200" w:after="80"/>
              <w:jc w:val="center"/>
            </w:pPr>
            <w:r>
              <w:rPr>
                <w:rFonts w:ascii="Calibri" w:hAnsi="Calibri"/>
                <w:b w:val="0"/>
                <w:i w:val="0"/>
                <w:color w:val="003372"/>
                <w:sz w:val="28"/>
              </w:rPr>
              <w:t xml:space="preserve">📊  </w:t>
            </w:r>
            <w:r>
              <w:rPr>
                <w:rFonts w:ascii="Calibri" w:hAnsi="Calibri"/>
                <w:b/>
                <w:i w:val="0"/>
                <w:color w:val="0070C0"/>
                <w:sz w:val="19"/>
              </w:rPr>
              <w:t xml:space="preserve">See Diagram: </w:t>
            </w:r>
            <w:r>
              <w:rPr>
                <w:rFonts w:ascii="Courier New" w:hAnsi="Courier New"/>
                <w:b/>
                <w:i w:val="0"/>
                <w:color w:val="003372"/>
                <w:sz w:val="19"/>
              </w:rPr>
              <w:t>SWIFT-03-Network-Architecture.drawio</w:t>
            </w:r>
          </w:p>
          <w:p>
            <w:pPr>
              <w:spacing w:after="200"/>
              <w:jc w:val="center"/>
            </w:pPr>
            <w:r>
              <w:rPr>
                <w:rFonts w:ascii="Calibri" w:hAnsi="Calibri"/>
                <w:b w:val="0"/>
                <w:i/>
                <w:color w:val="445566"/>
                <w:sz w:val="17"/>
              </w:rPr>
              <w:t>SWIFT hub-and-spoke architecture — banks, services (FIN / FileAct / InterAct), and the network layer</w:t>
            </w:r>
          </w:p>
        </w:tc>
      </w:tr>
    </w:tbl>
    <w:p>
      <w:pPr>
        <w:spacing w:before="80" w:after="80"/>
      </w:pPr>
    </w:p>
    <w:p>
      <w:pPr>
        <w:pBdr>
          <w:bottom w:val="single" w:sz="6" w:space="1" w:color="BFBFBF"/>
        </w:pBdr>
        <w:spacing w:before="160" w:after="160"/>
      </w:pPr>
    </w:p>
    <w:tbl>
      <w:tblPr>
        <w:tblW w:type="auto" w:w="0"/>
        <w:jc w:val="left"/>
        <w:tblLook w:firstColumn="1" w:firstRow="1" w:lastColumn="0" w:lastRow="0" w:noHBand="0" w:noVBand="1" w:val="04A0"/>
      </w:tblPr>
      <w:tblGrid>
        <w:gridCol w:w="4658"/>
        <w:gridCol w:w="4658"/>
      </w:tblGrid>
      <w:tr>
        <w:tc>
          <w:tcPr>
            <w:tcW w:type="dxa" w:w="648"/>
            <w:shd w:val="clear" w:color="auto" w:fill="F0A00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jc w:val="center"/>
            </w:pPr>
            <w:r>
              <w:rPr>
                <w:rFonts w:ascii="Calibri" w:hAnsi="Calibri"/>
                <w:b/>
                <w:i w:val="0"/>
                <w:color w:val="003372"/>
                <w:sz w:val="23"/>
              </w:rPr>
              <w:t>05</w:t>
            </w:r>
          </w:p>
        </w:tc>
        <w:tc>
          <w:tcPr>
            <w:tcW w:type="dxa" w:w="8669"/>
            <w:shd w:val="clear" w:color="auto" w:fill="00337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ind w:left="200"/>
            </w:pPr>
            <w:r>
              <w:rPr>
                <w:rFonts w:ascii="Calibri" w:hAnsi="Calibri"/>
                <w:b/>
                <w:i w:val="0"/>
                <w:color w:val="FFFFFF"/>
                <w:sz w:val="23"/>
              </w:rPr>
              <w:t>The Four Messages You Need to Know</w:t>
            </w:r>
          </w:p>
        </w:tc>
      </w:tr>
    </w:tbl>
    <w:p>
      <w:pPr>
        <w:spacing w:before="80" w:after="80"/>
      </w:pPr>
    </w:p>
    <w:p>
      <w:pPr>
        <w:spacing w:before="40" w:after="120"/>
      </w:pPr>
      <w:r>
        <w:rPr>
          <w:rFonts w:ascii="Calibri" w:hAnsi="Calibri"/>
          <w:b w:val="0"/>
          <w:i w:val="0"/>
          <w:color w:val="222222"/>
          <w:sz w:val="21"/>
        </w:rPr>
        <w:t>SWIFT has over 200 message types across 9 categories. For cross-border payments and treasury operations, these four are essential:</w:t>
      </w:r>
    </w:p>
    <w:tbl>
      <w:tblPr>
        <w:tblStyle w:val="TableGrid"/>
        <w:tblW w:type="auto" w:w="0"/>
        <w:jc w:val="left"/>
        <w:tblLook w:firstColumn="1" w:firstRow="1" w:lastColumn="0" w:lastRow="0" w:noHBand="0" w:noVBand="1" w:val="04A0"/>
      </w:tblPr>
      <w:tblGrid>
        <w:gridCol w:w="3106"/>
        <w:gridCol w:w="3106"/>
        <w:gridCol w:w="3106"/>
      </w:tblGrid>
      <w:tr>
        <w:tc>
          <w:tcPr>
            <w:tcW w:type="dxa" w:w="1584"/>
            <w:shd w:val="clear" w:color="auto" w:fill="003372"/>
            <w:tcBorders>
              <w:top w:val="single" w:sz="4" w:space="0" w:color="003372"/>
              <w:left w:val="single" w:sz="4" w:space="0" w:color="003372"/>
              <w:bottom w:val="single" w:sz="4" w:space="0" w:color="003372"/>
              <w:right w:val="single" w:sz="4" w:space="0" w:color="003372"/>
            </w:tcBorders>
          </w:tcPr>
          <w:p>
            <w:pPr>
              <w:spacing w:before="60" w:after="60"/>
              <w:jc w:val="center"/>
            </w:pPr>
            <w:r>
              <w:rPr>
                <w:rFonts w:ascii="Calibri" w:hAnsi="Calibri"/>
                <w:b/>
                <w:i w:val="0"/>
                <w:color w:val="FFFFFF"/>
                <w:sz w:val="18"/>
              </w:rPr>
              <w:t>Message</w:t>
            </w:r>
          </w:p>
        </w:tc>
        <w:tc>
          <w:tcPr>
            <w:tcW w:type="dxa" w:w="4752"/>
            <w:shd w:val="clear" w:color="auto" w:fill="003372"/>
            <w:tcBorders>
              <w:top w:val="single" w:sz="4" w:space="0" w:color="003372"/>
              <w:left w:val="single" w:sz="4" w:space="0" w:color="003372"/>
              <w:bottom w:val="single" w:sz="4" w:space="0" w:color="003372"/>
              <w:right w:val="single" w:sz="4" w:space="0" w:color="003372"/>
            </w:tcBorders>
          </w:tcPr>
          <w:p>
            <w:pPr>
              <w:spacing w:before="60" w:after="60"/>
              <w:jc w:val="center"/>
            </w:pPr>
            <w:r>
              <w:rPr>
                <w:rFonts w:ascii="Calibri" w:hAnsi="Calibri"/>
                <w:b/>
                <w:i w:val="0"/>
                <w:color w:val="FFFFFF"/>
                <w:sz w:val="18"/>
              </w:rPr>
              <w:t>What It Does</w:t>
            </w:r>
          </w:p>
        </w:tc>
        <w:tc>
          <w:tcPr>
            <w:tcW w:type="dxa" w:w="2981"/>
            <w:shd w:val="clear" w:color="auto" w:fill="003372"/>
            <w:tcBorders>
              <w:top w:val="single" w:sz="4" w:space="0" w:color="003372"/>
              <w:left w:val="single" w:sz="4" w:space="0" w:color="003372"/>
              <w:bottom w:val="single" w:sz="4" w:space="0" w:color="003372"/>
              <w:right w:val="single" w:sz="4" w:space="0" w:color="003372"/>
            </w:tcBorders>
          </w:tcPr>
          <w:p>
            <w:pPr>
              <w:spacing w:before="60" w:after="60"/>
              <w:jc w:val="center"/>
            </w:pPr>
            <w:r>
              <w:rPr>
                <w:rFonts w:ascii="Calibri" w:hAnsi="Calibri"/>
                <w:b/>
                <w:i w:val="0"/>
                <w:color w:val="FFFFFF"/>
                <w:sz w:val="18"/>
              </w:rPr>
              <w:t>When Used</w:t>
            </w:r>
          </w:p>
        </w:tc>
      </w:tr>
      <w:tr>
        <w:tc>
          <w:tcPr>
            <w:tcW w:type="dxa" w:w="1584"/>
            <w:shd w:val="clear" w:color="auto" w:fill="FFFFFF"/>
            <w:tcBorders>
              <w:top w:val="single" w:sz="4" w:space="0" w:color="C0C0C0"/>
              <w:left w:val="single" w:sz="4" w:space="0" w:color="C0C0C0"/>
              <w:bottom w:val="single" w:sz="4" w:space="0" w:color="C0C0C0"/>
              <w:right w:val="single" w:sz="4" w:space="0" w:color="C0C0C0"/>
            </w:tcBorders>
          </w:tcPr>
          <w:p>
            <w:pPr>
              <w:spacing w:before="40" w:after="40"/>
              <w:ind w:left="80"/>
            </w:pPr>
            <w:r>
              <w:rPr>
                <w:rFonts w:ascii="Calibri" w:hAnsi="Calibri"/>
                <w:b/>
                <w:i w:val="0"/>
                <w:color w:val="003372"/>
                <w:sz w:val="18"/>
              </w:rPr>
              <w:t>MT103</w:t>
            </w:r>
          </w:p>
        </w:tc>
        <w:tc>
          <w:tcPr>
            <w:tcW w:type="dxa" w:w="4752"/>
            <w:shd w:val="clear" w:color="auto" w:fill="FFFFFF"/>
            <w:tcBorders>
              <w:top w:val="single" w:sz="4" w:space="0" w:color="C0C0C0"/>
              <w:left w:val="single" w:sz="4" w:space="0" w:color="C0C0C0"/>
              <w:bottom w:val="single" w:sz="4" w:space="0" w:color="C0C0C0"/>
              <w:right w:val="single" w:sz="4" w:space="0" w:color="C0C0C0"/>
            </w:tcBorders>
          </w:tcPr>
          <w:p>
            <w:pPr>
              <w:spacing w:before="40" w:after="40"/>
              <w:ind w:left="80"/>
            </w:pPr>
            <w:r>
              <w:rPr>
                <w:rFonts w:ascii="Calibri" w:hAnsi="Calibri"/>
                <w:b w:val="0"/>
                <w:i w:val="0"/>
                <w:color w:val="222222"/>
                <w:sz w:val="18"/>
              </w:rPr>
              <w:t>Customer Credit Transfer — the international wire payment instruction</w:t>
            </w:r>
          </w:p>
        </w:tc>
        <w:tc>
          <w:tcPr>
            <w:tcW w:type="dxa" w:w="2981"/>
            <w:shd w:val="clear" w:color="auto" w:fill="FFFFFF"/>
            <w:tcBorders>
              <w:top w:val="single" w:sz="4" w:space="0" w:color="C0C0C0"/>
              <w:left w:val="single" w:sz="4" w:space="0" w:color="C0C0C0"/>
              <w:bottom w:val="single" w:sz="4" w:space="0" w:color="C0C0C0"/>
              <w:right w:val="single" w:sz="4" w:space="0" w:color="C0C0C0"/>
            </w:tcBorders>
          </w:tcPr>
          <w:p>
            <w:pPr>
              <w:spacing w:before="40" w:after="40"/>
              <w:ind w:left="80"/>
            </w:pPr>
            <w:r>
              <w:rPr>
                <w:rFonts w:ascii="Calibri" w:hAnsi="Calibri"/>
                <w:b w:val="0"/>
                <w:i w:val="0"/>
                <w:color w:val="445566"/>
                <w:sz w:val="18"/>
              </w:rPr>
              <w:t>Every consumer/corporate cross-border payment</w:t>
            </w:r>
          </w:p>
        </w:tc>
      </w:tr>
      <w:tr>
        <w:tc>
          <w:tcPr>
            <w:tcW w:type="dxa" w:w="1584"/>
            <w:shd w:val="clear" w:color="auto" w:fill="F4F6F8"/>
            <w:tcBorders>
              <w:top w:val="single" w:sz="4" w:space="0" w:color="C0C0C0"/>
              <w:left w:val="single" w:sz="4" w:space="0" w:color="C0C0C0"/>
              <w:bottom w:val="single" w:sz="4" w:space="0" w:color="C0C0C0"/>
              <w:right w:val="single" w:sz="4" w:space="0" w:color="C0C0C0"/>
            </w:tcBorders>
          </w:tcPr>
          <w:p>
            <w:pPr>
              <w:spacing w:before="40" w:after="40"/>
              <w:ind w:left="80"/>
            </w:pPr>
            <w:r>
              <w:rPr>
                <w:rFonts w:ascii="Calibri" w:hAnsi="Calibri"/>
                <w:b/>
                <w:i w:val="0"/>
                <w:color w:val="0070C0"/>
                <w:sz w:val="18"/>
              </w:rPr>
              <w:t>MT202</w:t>
            </w:r>
          </w:p>
        </w:tc>
        <w:tc>
          <w:tcPr>
            <w:tcW w:type="dxa" w:w="4752"/>
            <w:shd w:val="clear" w:color="auto" w:fill="F4F6F8"/>
            <w:tcBorders>
              <w:top w:val="single" w:sz="4" w:space="0" w:color="C0C0C0"/>
              <w:left w:val="single" w:sz="4" w:space="0" w:color="C0C0C0"/>
              <w:bottom w:val="single" w:sz="4" w:space="0" w:color="C0C0C0"/>
              <w:right w:val="single" w:sz="4" w:space="0" w:color="C0C0C0"/>
            </w:tcBorders>
          </w:tcPr>
          <w:p>
            <w:pPr>
              <w:spacing w:before="40" w:after="40"/>
              <w:ind w:left="80"/>
            </w:pPr>
            <w:r>
              <w:rPr>
                <w:rFonts w:ascii="Calibri" w:hAnsi="Calibri"/>
                <w:b w:val="0"/>
                <w:i w:val="0"/>
                <w:color w:val="222222"/>
                <w:sz w:val="18"/>
              </w:rPr>
              <w:t>Bank-to-Bank Credit Transfer — settlement between correspondent banks</w:t>
            </w:r>
          </w:p>
        </w:tc>
        <w:tc>
          <w:tcPr>
            <w:tcW w:type="dxa" w:w="2981"/>
            <w:shd w:val="clear" w:color="auto" w:fill="F4F6F8"/>
            <w:tcBorders>
              <w:top w:val="single" w:sz="4" w:space="0" w:color="C0C0C0"/>
              <w:left w:val="single" w:sz="4" w:space="0" w:color="C0C0C0"/>
              <w:bottom w:val="single" w:sz="4" w:space="0" w:color="C0C0C0"/>
              <w:right w:val="single" w:sz="4" w:space="0" w:color="C0C0C0"/>
            </w:tcBorders>
          </w:tcPr>
          <w:p>
            <w:pPr>
              <w:spacing w:before="40" w:after="40"/>
              <w:ind w:left="80"/>
            </w:pPr>
            <w:r>
              <w:rPr>
                <w:rFonts w:ascii="Calibri" w:hAnsi="Calibri"/>
                <w:b w:val="0"/>
                <w:i w:val="0"/>
                <w:color w:val="445566"/>
                <w:sz w:val="18"/>
              </w:rPr>
              <w:t>Interbank settlement leg of correspondent payments</w:t>
            </w:r>
          </w:p>
        </w:tc>
      </w:tr>
      <w:tr>
        <w:tc>
          <w:tcPr>
            <w:tcW w:type="dxa" w:w="1584"/>
            <w:shd w:val="clear" w:color="auto" w:fill="FFFFFF"/>
            <w:tcBorders>
              <w:top w:val="single" w:sz="4" w:space="0" w:color="C0C0C0"/>
              <w:left w:val="single" w:sz="4" w:space="0" w:color="C0C0C0"/>
              <w:bottom w:val="single" w:sz="4" w:space="0" w:color="C0C0C0"/>
              <w:right w:val="single" w:sz="4" w:space="0" w:color="C0C0C0"/>
            </w:tcBorders>
          </w:tcPr>
          <w:p>
            <w:pPr>
              <w:spacing w:before="40" w:after="40"/>
              <w:ind w:left="80"/>
            </w:pPr>
            <w:r>
              <w:rPr>
                <w:rFonts w:ascii="Calibri" w:hAnsi="Calibri"/>
                <w:b/>
                <w:i w:val="0"/>
                <w:color w:val="008B8B"/>
                <w:sz w:val="18"/>
              </w:rPr>
              <w:t>MT940</w:t>
            </w:r>
          </w:p>
        </w:tc>
        <w:tc>
          <w:tcPr>
            <w:tcW w:type="dxa" w:w="4752"/>
            <w:shd w:val="clear" w:color="auto" w:fill="FFFFFF"/>
            <w:tcBorders>
              <w:top w:val="single" w:sz="4" w:space="0" w:color="C0C0C0"/>
              <w:left w:val="single" w:sz="4" w:space="0" w:color="C0C0C0"/>
              <w:bottom w:val="single" w:sz="4" w:space="0" w:color="C0C0C0"/>
              <w:right w:val="single" w:sz="4" w:space="0" w:color="C0C0C0"/>
            </w:tcBorders>
          </w:tcPr>
          <w:p>
            <w:pPr>
              <w:spacing w:before="40" w:after="40"/>
              <w:ind w:left="80"/>
            </w:pPr>
            <w:r>
              <w:rPr>
                <w:rFonts w:ascii="Calibri" w:hAnsi="Calibri"/>
                <w:b w:val="0"/>
                <w:i w:val="0"/>
                <w:color w:val="222222"/>
                <w:sz w:val="18"/>
              </w:rPr>
              <w:t>Account Statement (legacy) — end-of-day Nostro reconciliation</w:t>
            </w:r>
          </w:p>
        </w:tc>
        <w:tc>
          <w:tcPr>
            <w:tcW w:type="dxa" w:w="2981"/>
            <w:shd w:val="clear" w:color="auto" w:fill="FFFFFF"/>
            <w:tcBorders>
              <w:top w:val="single" w:sz="4" w:space="0" w:color="C0C0C0"/>
              <w:left w:val="single" w:sz="4" w:space="0" w:color="C0C0C0"/>
              <w:bottom w:val="single" w:sz="4" w:space="0" w:color="C0C0C0"/>
              <w:right w:val="single" w:sz="4" w:space="0" w:color="C0C0C0"/>
            </w:tcBorders>
          </w:tcPr>
          <w:p>
            <w:pPr>
              <w:spacing w:before="40" w:after="40"/>
              <w:ind w:left="80"/>
            </w:pPr>
            <w:r>
              <w:rPr>
                <w:rFonts w:ascii="Calibri" w:hAnsi="Calibri"/>
                <w:b w:val="0"/>
                <w:i w:val="0"/>
                <w:color w:val="445566"/>
                <w:sz w:val="18"/>
              </w:rPr>
              <w:t>Daily Nostro account reconciliation</w:t>
            </w:r>
          </w:p>
        </w:tc>
      </w:tr>
      <w:tr>
        <w:tc>
          <w:tcPr>
            <w:tcW w:type="dxa" w:w="1584"/>
            <w:shd w:val="clear" w:color="auto" w:fill="F4F6F8"/>
            <w:tcBorders>
              <w:top w:val="single" w:sz="4" w:space="0" w:color="C0C0C0"/>
              <w:left w:val="single" w:sz="4" w:space="0" w:color="C0C0C0"/>
              <w:bottom w:val="single" w:sz="4" w:space="0" w:color="C0C0C0"/>
              <w:right w:val="single" w:sz="4" w:space="0" w:color="C0C0C0"/>
            </w:tcBorders>
          </w:tcPr>
          <w:p>
            <w:pPr>
              <w:spacing w:before="40" w:after="40"/>
              <w:ind w:left="80"/>
            </w:pPr>
            <w:r>
              <w:rPr>
                <w:rFonts w:ascii="Calibri" w:hAnsi="Calibri"/>
                <w:b/>
                <w:i w:val="0"/>
                <w:color w:val="007A4C"/>
                <w:sz w:val="18"/>
              </w:rPr>
              <w:t>CAMT.053</w:t>
            </w:r>
          </w:p>
        </w:tc>
        <w:tc>
          <w:tcPr>
            <w:tcW w:type="dxa" w:w="4752"/>
            <w:shd w:val="clear" w:color="auto" w:fill="F4F6F8"/>
            <w:tcBorders>
              <w:top w:val="single" w:sz="4" w:space="0" w:color="C0C0C0"/>
              <w:left w:val="single" w:sz="4" w:space="0" w:color="C0C0C0"/>
              <w:bottom w:val="single" w:sz="4" w:space="0" w:color="C0C0C0"/>
              <w:right w:val="single" w:sz="4" w:space="0" w:color="C0C0C0"/>
            </w:tcBorders>
          </w:tcPr>
          <w:p>
            <w:pPr>
              <w:spacing w:before="40" w:after="40"/>
              <w:ind w:left="80"/>
            </w:pPr>
            <w:r>
              <w:rPr>
                <w:rFonts w:ascii="Calibri" w:hAnsi="Calibri"/>
                <w:b w:val="0"/>
                <w:i w:val="0"/>
                <w:color w:val="222222"/>
                <w:sz w:val="18"/>
              </w:rPr>
              <w:t>Account Statement (ISO 20022 XML) — richer, structured data format</w:t>
            </w:r>
          </w:p>
        </w:tc>
        <w:tc>
          <w:tcPr>
            <w:tcW w:type="dxa" w:w="2981"/>
            <w:shd w:val="clear" w:color="auto" w:fill="F4F6F8"/>
            <w:tcBorders>
              <w:top w:val="single" w:sz="4" w:space="0" w:color="C0C0C0"/>
              <w:left w:val="single" w:sz="4" w:space="0" w:color="C0C0C0"/>
              <w:bottom w:val="single" w:sz="4" w:space="0" w:color="C0C0C0"/>
              <w:right w:val="single" w:sz="4" w:space="0" w:color="C0C0C0"/>
            </w:tcBorders>
          </w:tcPr>
          <w:p>
            <w:pPr>
              <w:spacing w:before="40" w:after="40"/>
              <w:ind w:left="80"/>
            </w:pPr>
            <w:r>
              <w:rPr>
                <w:rFonts w:ascii="Calibri" w:hAnsi="Calibri"/>
                <w:b w:val="0"/>
                <w:i w:val="0"/>
                <w:color w:val="445566"/>
                <w:sz w:val="18"/>
              </w:rPr>
              <w:t>Modern ISO 20022 statement — replacing MT940</w:t>
            </w:r>
          </w:p>
        </w:tc>
      </w:tr>
    </w:tbl>
    <w:p>
      <w:pPr>
        <w:spacing w:before="80" w:after="80"/>
      </w:pPr>
    </w:p>
    <w:p>
      <w:pPr>
        <w:pBdr>
          <w:bottom w:val="single" w:sz="6" w:space="1" w:color="BFBFBF"/>
        </w:pBdr>
        <w:spacing w:before="160" w:after="160"/>
      </w:pPr>
    </w:p>
    <w:tbl>
      <w:tblPr>
        <w:tblW w:type="auto" w:w="0"/>
        <w:jc w:val="left"/>
        <w:tblLook w:firstColumn="1" w:firstRow="1" w:lastColumn="0" w:lastRow="0" w:noHBand="0" w:noVBand="1" w:val="04A0"/>
      </w:tblPr>
      <w:tblGrid>
        <w:gridCol w:w="4658"/>
        <w:gridCol w:w="4658"/>
      </w:tblGrid>
      <w:tr>
        <w:tc>
          <w:tcPr>
            <w:tcW w:type="dxa" w:w="648"/>
            <w:shd w:val="clear" w:color="auto" w:fill="F0A00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jc w:val="center"/>
            </w:pPr>
            <w:r>
              <w:rPr>
                <w:rFonts w:ascii="Calibri" w:hAnsi="Calibri"/>
                <w:b/>
                <w:i w:val="0"/>
                <w:color w:val="003372"/>
                <w:sz w:val="23"/>
              </w:rPr>
              <w:t>06</w:t>
            </w:r>
          </w:p>
        </w:tc>
        <w:tc>
          <w:tcPr>
            <w:tcW w:type="dxa" w:w="8669"/>
            <w:shd w:val="clear" w:color="auto" w:fill="008B8B"/>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ind w:left="200"/>
            </w:pPr>
            <w:r>
              <w:rPr>
                <w:rFonts w:ascii="Calibri" w:hAnsi="Calibri"/>
                <w:b/>
                <w:i w:val="0"/>
                <w:color w:val="FFFFFF"/>
                <w:sz w:val="23"/>
              </w:rPr>
              <w:t>Why Cross-Border Payments Take 1–5 Days</w:t>
            </w:r>
          </w:p>
        </w:tc>
      </w:tr>
    </w:tbl>
    <w:p>
      <w:pPr>
        <w:spacing w:before="80" w:after="80"/>
      </w:pPr>
    </w:p>
    <w:p>
      <w:pPr>
        <w:spacing w:before="60" w:after="100"/>
      </w:pPr>
      <w:r>
        <w:rPr>
          <w:rFonts w:ascii="Calibri" w:hAnsi="Calibri"/>
          <w:b w:val="0"/>
          <w:i w:val="0"/>
          <w:color w:val="222222"/>
          <w:sz w:val="21"/>
        </w:rPr>
        <w:t>Each bank in the correspondent chain runs its own compliance checks, currency conversions, and cut-off windows. More hops = more time and fees.</w:t>
      </w:r>
    </w:p>
    <w:p>
      <w:pPr>
        <w:spacing w:before="60" w:after="60"/>
      </w:pPr>
    </w:p>
    <w:p>
      <w:pPr>
        <w:spacing w:before="40" w:after="60"/>
        <w:ind w:left="280" w:hanging="280"/>
      </w:pPr>
      <w:r>
        <w:rPr>
          <w:rFonts w:ascii="Calibri" w:hAnsi="Calibri"/>
          <w:b/>
          <w:i w:val="0"/>
          <w:color w:val="F0A000"/>
          <w:sz w:val="19"/>
        </w:rPr>
        <w:t xml:space="preserve">🔍  </w:t>
      </w:r>
      <w:r>
        <w:rPr>
          <w:rFonts w:ascii="Calibri" w:hAnsi="Calibri"/>
          <w:b/>
          <w:i w:val="0"/>
          <w:color w:val="003372"/>
          <w:sz w:val="20"/>
        </w:rPr>
        <w:t xml:space="preserve">Sanctions screening  </w:t>
      </w:r>
      <w:r>
        <w:rPr>
          <w:rFonts w:ascii="Calibri" w:hAnsi="Calibri"/>
          <w:b w:val="0"/>
          <w:i w:val="0"/>
          <w:color w:val="222222"/>
          <w:sz w:val="20"/>
        </w:rPr>
        <w:t>Every bank runs OFAC, UN, and EU checks — flagged payments go for manual review.</w:t>
      </w:r>
    </w:p>
    <w:p>
      <w:pPr>
        <w:spacing w:before="40" w:after="60"/>
        <w:ind w:left="280" w:hanging="280"/>
      </w:pPr>
      <w:r>
        <w:rPr>
          <w:rFonts w:ascii="Calibri" w:hAnsi="Calibri"/>
          <w:b/>
          <w:i w:val="0"/>
          <w:color w:val="F0A000"/>
          <w:sz w:val="19"/>
        </w:rPr>
        <w:t xml:space="preserve">⏰  </w:t>
      </w:r>
      <w:r>
        <w:rPr>
          <w:rFonts w:ascii="Calibri" w:hAnsi="Calibri"/>
          <w:b/>
          <w:i w:val="0"/>
          <w:color w:val="003372"/>
          <w:sz w:val="20"/>
        </w:rPr>
        <w:t xml:space="preserve">Cut-off times  </w:t>
      </w:r>
      <w:r>
        <w:rPr>
          <w:rFonts w:ascii="Calibri" w:hAnsi="Calibri"/>
          <w:b w:val="0"/>
          <w:i w:val="0"/>
          <w:color w:val="222222"/>
          <w:sz w:val="20"/>
        </w:rPr>
        <w:t>Miss a bank's daily cut-off (often 14:00–15:00 local) and the payment waits until tomorrow.</w:t>
      </w:r>
    </w:p>
    <w:p>
      <w:pPr>
        <w:spacing w:before="40" w:after="60"/>
        <w:ind w:left="280" w:hanging="280"/>
      </w:pPr>
      <w:r>
        <w:rPr>
          <w:rFonts w:ascii="Calibri" w:hAnsi="Calibri"/>
          <w:b/>
          <w:i w:val="0"/>
          <w:color w:val="F0A000"/>
          <w:sz w:val="19"/>
        </w:rPr>
        <w:t xml:space="preserve">💱  </w:t>
      </w:r>
      <w:r>
        <w:rPr>
          <w:rFonts w:ascii="Calibri" w:hAnsi="Calibri"/>
          <w:b/>
          <w:i w:val="0"/>
          <w:color w:val="003372"/>
          <w:sz w:val="20"/>
        </w:rPr>
        <w:t xml:space="preserve">Currency conversion  </w:t>
      </w:r>
      <w:r>
        <w:rPr>
          <w:rFonts w:ascii="Calibri" w:hAnsi="Calibri"/>
          <w:b w:val="0"/>
          <w:i w:val="0"/>
          <w:color w:val="222222"/>
          <w:sz w:val="20"/>
        </w:rPr>
        <w:t>Each FX conversion adds spread cost and potential delay.</w:t>
      </w:r>
    </w:p>
    <w:p>
      <w:pPr>
        <w:spacing w:before="40" w:after="60"/>
        <w:ind w:left="280" w:hanging="280"/>
      </w:pPr>
      <w:r>
        <w:rPr>
          <w:rFonts w:ascii="Calibri" w:hAnsi="Calibri"/>
          <w:b/>
          <w:i w:val="0"/>
          <w:color w:val="F0A000"/>
          <w:sz w:val="19"/>
        </w:rPr>
        <w:t xml:space="preserve">🌍  </w:t>
      </w:r>
      <w:r>
        <w:rPr>
          <w:rFonts w:ascii="Calibri" w:hAnsi="Calibri"/>
          <w:b/>
          <w:i w:val="0"/>
          <w:color w:val="003372"/>
          <w:sz w:val="20"/>
        </w:rPr>
        <w:t xml:space="preserve">Time zones  </w:t>
      </w:r>
      <w:r>
        <w:rPr>
          <w:rFonts w:ascii="Calibri" w:hAnsi="Calibri"/>
          <w:b w:val="0"/>
          <w:i w:val="0"/>
          <w:color w:val="222222"/>
          <w:sz w:val="20"/>
        </w:rPr>
        <w:t>New York and Tokyo overlap for just 1–2 hours per day.</w:t>
      </w:r>
    </w:p>
    <w:p>
      <w:pPr>
        <w:spacing w:before="40" w:after="60"/>
        <w:ind w:left="280" w:hanging="280"/>
      </w:pPr>
      <w:r>
        <w:rPr>
          <w:rFonts w:ascii="Calibri" w:hAnsi="Calibri"/>
          <w:b/>
          <w:i w:val="0"/>
          <w:color w:val="F0A000"/>
          <w:sz w:val="19"/>
        </w:rPr>
        <w:t xml:space="preserve">🏦  </w:t>
      </w:r>
      <w:r>
        <w:rPr>
          <w:rFonts w:ascii="Calibri" w:hAnsi="Calibri"/>
          <w:b/>
          <w:i w:val="0"/>
          <w:color w:val="003372"/>
          <w:sz w:val="20"/>
        </w:rPr>
        <w:t xml:space="preserve">More hops  </w:t>
      </w:r>
      <w:r>
        <w:rPr>
          <w:rFonts w:ascii="Calibri" w:hAnsi="Calibri"/>
          <w:b w:val="0"/>
          <w:i w:val="0"/>
          <w:color w:val="222222"/>
          <w:sz w:val="20"/>
        </w:rPr>
        <w:t>Each correspondent hop adds fees ($10–$30) and hours.</w:t>
      </w:r>
    </w:p>
    <w:p>
      <w:pPr>
        <w:spacing w:before="60" w:after="60"/>
      </w:pPr>
    </w:p>
    <w:tbl>
      <w:tblPr>
        <w:tblW w:type="auto" w:w="0"/>
        <w:jc w:val="left"/>
        <w:tblLook w:firstColumn="1" w:firstRow="1" w:lastColumn="0" w:lastRow="0" w:noHBand="0" w:noVBand="1" w:val="04A0"/>
      </w:tblPr>
      <w:tblGrid>
        <w:gridCol w:w="4658"/>
        <w:gridCol w:w="4658"/>
      </w:tblGrid>
      <w:tr>
        <w:tc>
          <w:tcPr>
            <w:tcW w:type="dxa" w:w="1181"/>
            <w:shd w:val="clear" w:color="auto" w:fill="008B8B"/>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Calibri" w:hAnsi="Calibri"/>
                <w:b/>
                <w:i w:val="0"/>
                <w:color w:val="FFFFFF"/>
                <w:sz w:val="17"/>
              </w:rPr>
              <w:t>SWIFT GPI</w:t>
            </w:r>
          </w:p>
        </w:tc>
        <w:tc>
          <w:tcPr>
            <w:tcW w:type="dxa" w:w="8136"/>
            <w:shd w:val="clear" w:color="auto" w:fill="FFFD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ind w:left="160"/>
            </w:pPr>
            <w:r>
              <w:rPr>
                <w:rFonts w:ascii="Calibri" w:hAnsi="Calibri"/>
                <w:b w:val="0"/>
                <w:i w:val="0"/>
                <w:color w:val="222222"/>
                <w:sz w:val="19"/>
              </w:rPr>
              <w:t>Launched 2017. Every GPI payment has a unique tracking reference (UETR) — like a parcel tracking number. Over 70% of SWIFT cross-border payments now arrive within 30 minutes. Transparency was the missing piece — GPI added it.</w:t>
            </w:r>
          </w:p>
        </w:tc>
      </w:tr>
    </w:tbl>
    <w:p>
      <w:pPr>
        <w:spacing w:before="80" w:after="80"/>
      </w:pPr>
    </w:p>
    <w:p>
      <w:pPr>
        <w:pBdr>
          <w:bottom w:val="single" w:sz="6" w:space="1" w:color="BFBFBF"/>
        </w:pBdr>
        <w:spacing w:before="160" w:after="160"/>
      </w:pPr>
    </w:p>
    <w:tbl>
      <w:tblPr>
        <w:tblW w:type="auto" w:w="0"/>
        <w:jc w:val="left"/>
        <w:tblLook w:firstColumn="1" w:firstRow="1" w:lastColumn="0" w:lastRow="0" w:noHBand="0" w:noVBand="1" w:val="04A0"/>
      </w:tblPr>
      <w:tblGrid>
        <w:gridCol w:w="4658"/>
        <w:gridCol w:w="4658"/>
      </w:tblGrid>
      <w:tr>
        <w:tc>
          <w:tcPr>
            <w:tcW w:type="dxa" w:w="648"/>
            <w:shd w:val="clear" w:color="auto" w:fill="F0A00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jc w:val="center"/>
            </w:pPr>
            <w:r>
              <w:rPr>
                <w:rFonts w:ascii="Calibri" w:hAnsi="Calibri"/>
                <w:b/>
                <w:i w:val="0"/>
                <w:color w:val="003372"/>
                <w:sz w:val="23"/>
              </w:rPr>
              <w:t>07</w:t>
            </w:r>
          </w:p>
        </w:tc>
        <w:tc>
          <w:tcPr>
            <w:tcW w:type="dxa" w:w="8669"/>
            <w:shd w:val="clear" w:color="auto" w:fill="007A4C"/>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ind w:left="200"/>
            </w:pPr>
            <w:r>
              <w:rPr>
                <w:rFonts w:ascii="Calibri" w:hAnsi="Calibri"/>
                <w:b/>
                <w:i w:val="0"/>
                <w:color w:val="FFFFFF"/>
                <w:sz w:val="23"/>
              </w:rPr>
              <w:t>The Future: ISO 20022</w:t>
            </w:r>
          </w:p>
        </w:tc>
      </w:tr>
    </w:tbl>
    <w:p>
      <w:pPr>
        <w:spacing w:before="80" w:after="80"/>
      </w:pPr>
    </w:p>
    <w:p>
      <w:pPr>
        <w:spacing w:before="60" w:after="100"/>
      </w:pPr>
      <w:r>
        <w:rPr>
          <w:rFonts w:ascii="Calibri" w:hAnsi="Calibri"/>
          <w:b w:val="0"/>
          <w:i w:val="0"/>
          <w:color w:val="222222"/>
          <w:sz w:val="21"/>
        </w:rPr>
        <w:t>The entire industry is migrating from legacy MT text messages (SWIFT FIN) to ISO 20022 XML messages — richer structured data, better fraud screening, machine-readable remittance information, and multi-language support.</w:t>
      </w:r>
    </w:p>
    <w:p>
      <w:pPr>
        <w:spacing w:before="60" w:after="60"/>
      </w:pPr>
    </w:p>
    <w:tbl>
      <w:tblPr>
        <w:tblW w:type="auto" w:w="0"/>
        <w:jc w:val="left"/>
        <w:tblLook w:firstColumn="1" w:firstRow="1" w:lastColumn="0" w:lastRow="0" w:noHBand="0" w:noVBand="1" w:val="04A0"/>
      </w:tblPr>
      <w:tblGrid>
        <w:gridCol w:w="4658"/>
        <w:gridCol w:w="4658"/>
      </w:tblGrid>
      <w:tr>
        <w:tc>
          <w:tcPr>
            <w:tcW w:type="dxa" w:w="4658"/>
            <w:shd w:val="clear" w:color="auto" w:fill="E8F0FF"/>
            <w:tcBorders>
              <w:top w:val="single" w:sz="8" w:space="0" w:color="0070C0"/>
              <w:left w:val="single" w:sz="8" w:space="0" w:color="0070C0"/>
              <w:bottom w:val="single" w:sz="8" w:space="0" w:color="0070C0"/>
              <w:right w:val="single" w:sz="8" w:space="0" w:color="0070C0"/>
            </w:tcBorders>
          </w:tcPr>
          <w:p>
            <w:pPr>
              <w:spacing w:before="140" w:after="80"/>
              <w:ind w:left="160"/>
            </w:pPr>
            <w:r>
              <w:rPr>
                <w:rFonts w:ascii="Calibri" w:hAnsi="Calibri"/>
                <w:b/>
                <w:i w:val="0"/>
                <w:color w:val="0070C0"/>
                <w:sz w:val="18"/>
              </w:rPr>
              <w:t>MT940 (Legacy FIN — plain text)</w:t>
              <w:br/>
            </w:r>
          </w:p>
          <w:p>
            <w:pPr>
              <w:spacing w:after="80"/>
              <w:ind w:left="160"/>
            </w:pPr>
            <w:r>
              <w:rPr>
                <w:rFonts w:ascii="Courier New" w:hAnsi="Courier New"/>
                <w:b w:val="0"/>
                <w:i w:val="0"/>
                <w:color w:val="335588"/>
                <w:sz w:val="16"/>
              </w:rPr>
              <w:t>:60F:C260422GBP1250000,</w:t>
              <w:br/>
              <w:t>:61:2604220422D15000,NCHK/REF123</w:t>
              <w:br/>
              <w:t>:86:VENDOR PAYMENT</w:t>
            </w:r>
          </w:p>
          <w:p>
            <w:pPr>
              <w:spacing w:after="40"/>
              <w:ind w:left="160"/>
            </w:pPr>
            <w:r>
              <w:rPr>
                <w:rFonts w:ascii="Calibri" w:hAnsi="Calibri"/>
                <w:b w:val="0"/>
                <w:i w:val="0"/>
                <w:color w:val="0070C0"/>
                <w:sz w:val="17"/>
              </w:rPr>
              <w:t>✗  35-character field limits</w:t>
            </w:r>
          </w:p>
          <w:p>
            <w:pPr>
              <w:spacing w:after="40"/>
              <w:ind w:left="160"/>
            </w:pPr>
            <w:r>
              <w:rPr>
                <w:rFonts w:ascii="Calibri" w:hAnsi="Calibri"/>
                <w:b w:val="0"/>
                <w:i w:val="0"/>
                <w:color w:val="0070C0"/>
                <w:sz w:val="17"/>
              </w:rPr>
              <w:t>✗  Free text — hard to parse</w:t>
            </w:r>
          </w:p>
          <w:p>
            <w:pPr>
              <w:spacing w:after="40"/>
              <w:ind w:left="160"/>
            </w:pPr>
            <w:r>
              <w:rPr>
                <w:rFonts w:ascii="Calibri" w:hAnsi="Calibri"/>
                <w:b w:val="0"/>
                <w:i w:val="0"/>
                <w:color w:val="0070C0"/>
                <w:sz w:val="17"/>
              </w:rPr>
              <w:t>✗  No structured remittance data</w:t>
            </w:r>
          </w:p>
          <w:p>
            <w:pPr>
              <w:spacing w:after="120"/>
            </w:pPr>
          </w:p>
        </w:tc>
        <w:tc>
          <w:tcPr>
            <w:tcW w:type="dxa" w:w="4658"/>
            <w:shd w:val="clear" w:color="auto" w:fill="E8F8F0"/>
            <w:tcBorders>
              <w:top w:val="single" w:sz="8" w:space="0" w:color="007A4C"/>
              <w:left w:val="single" w:sz="8" w:space="0" w:color="007A4C"/>
              <w:bottom w:val="single" w:sz="8" w:space="0" w:color="007A4C"/>
              <w:right w:val="single" w:sz="8" w:space="0" w:color="007A4C"/>
            </w:tcBorders>
          </w:tcPr>
          <w:p>
            <w:pPr>
              <w:spacing w:before="140" w:after="80"/>
              <w:ind w:left="160"/>
            </w:pPr>
            <w:r>
              <w:rPr>
                <w:rFonts w:ascii="Calibri" w:hAnsi="Calibri"/>
                <w:b/>
                <w:i w:val="0"/>
                <w:color w:val="007A4C"/>
                <w:sz w:val="18"/>
              </w:rPr>
              <w:t>CAMT.053 (ISO 20022 — XML)</w:t>
              <w:br/>
            </w:r>
          </w:p>
          <w:p>
            <w:pPr>
              <w:spacing w:after="80"/>
              <w:ind w:left="160"/>
            </w:pPr>
            <w:r>
              <w:rPr>
                <w:rFonts w:ascii="Courier New" w:hAnsi="Courier New"/>
                <w:b w:val="0"/>
                <w:i w:val="0"/>
                <w:color w:val="005533"/>
                <w:sz w:val="16"/>
              </w:rPr>
              <w:t>&lt;Ntry&gt;&lt;Amt Ccy='GBP'&gt;15000&lt;/Amt&gt;</w:t>
              <w:br/>
              <w:t>&lt;CdtDbtInd&gt;DBIT&lt;/CdtDbtInd&gt;</w:t>
              <w:br/>
              <w:t>&lt;RmtInf&gt;Invoice INV-2026-042&lt;/RmtInf&gt;</w:t>
            </w:r>
          </w:p>
          <w:p>
            <w:pPr>
              <w:spacing w:after="40"/>
              <w:ind w:left="160"/>
            </w:pPr>
            <w:r>
              <w:rPr>
                <w:rFonts w:ascii="Calibri" w:hAnsi="Calibri"/>
                <w:b w:val="0"/>
                <w:i w:val="0"/>
                <w:color w:val="007A4C"/>
                <w:sz w:val="17"/>
              </w:rPr>
              <w:t>✓  Unlimited structured data</w:t>
            </w:r>
          </w:p>
          <w:p>
            <w:pPr>
              <w:spacing w:after="40"/>
              <w:ind w:left="160"/>
            </w:pPr>
            <w:r>
              <w:rPr>
                <w:rFonts w:ascii="Calibri" w:hAnsi="Calibri"/>
                <w:b w:val="0"/>
                <w:i w:val="0"/>
                <w:color w:val="007A4C"/>
                <w:sz w:val="17"/>
              </w:rPr>
              <w:t>✓  Machine-readable XML</w:t>
            </w:r>
          </w:p>
          <w:p>
            <w:pPr>
              <w:spacing w:after="40"/>
              <w:ind w:left="160"/>
            </w:pPr>
            <w:r>
              <w:rPr>
                <w:rFonts w:ascii="Calibri" w:hAnsi="Calibri"/>
                <w:b w:val="0"/>
                <w:i w:val="0"/>
                <w:color w:val="007A4C"/>
                <w:sz w:val="17"/>
              </w:rPr>
              <w:t>✓  Full remittance &amp; LEI fields</w:t>
            </w:r>
          </w:p>
          <w:p>
            <w:pPr>
              <w:spacing w:after="120"/>
            </w:pPr>
          </w:p>
        </w:tc>
      </w:tr>
    </w:tbl>
    <w:p>
      <w:pPr>
        <w:spacing w:before="80" w:after="80"/>
      </w:pPr>
    </w:p>
    <w:p>
      <w:pPr>
        <w:spacing w:before="60" w:after="100"/>
      </w:pPr>
      <w:r>
        <w:rPr>
          <w:rFonts w:ascii="Calibri" w:hAnsi="Calibri"/>
          <w:b w:val="0"/>
          <w:i/>
          <w:color w:val="2C3E50"/>
          <w:sz w:val="19"/>
        </w:rPr>
        <w:t>SWIFT's CBPR+ (Cross-Border Payments Reporting+) migration ran from 2023 with a coexistence period until November 2025. After that, MX is primary. Every bank must upgrade — this is the largest infrastructure change in banking history.</w:t>
      </w:r>
    </w:p>
    <w:p>
      <w:pPr>
        <w:pBdr>
          <w:bottom w:val="single" w:sz="6" w:space="1" w:color="BFBFBF"/>
        </w:pBdr>
        <w:spacing w:before="160" w:after="160"/>
      </w:pPr>
    </w:p>
    <w:tbl>
      <w:tblPr>
        <w:tblW w:type="auto" w:w="0"/>
        <w:jc w:val="left"/>
        <w:tblLook w:firstColumn="1" w:firstRow="1" w:lastColumn="0" w:lastRow="0" w:noHBand="0" w:noVBand="1" w:val="04A0"/>
      </w:tblPr>
      <w:tblGrid>
        <w:gridCol w:w="4658"/>
        <w:gridCol w:w="4658"/>
      </w:tblGrid>
      <w:tr>
        <w:tc>
          <w:tcPr>
            <w:tcW w:type="dxa" w:w="648"/>
            <w:shd w:val="clear" w:color="auto" w:fill="F0A00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jc w:val="center"/>
            </w:pPr>
            <w:r>
              <w:rPr>
                <w:rFonts w:ascii="Calibri" w:hAnsi="Calibri"/>
                <w:b/>
                <w:i w:val="0"/>
                <w:color w:val="003372"/>
                <w:sz w:val="23"/>
              </w:rPr>
              <w:t xml:space="preserve">  ✓</w:t>
            </w:r>
          </w:p>
        </w:tc>
        <w:tc>
          <w:tcPr>
            <w:tcW w:type="dxa" w:w="8669"/>
            <w:shd w:val="clear" w:color="auto" w:fill="007A4C"/>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40" w:after="140"/>
              <w:ind w:left="200"/>
            </w:pPr>
            <w:r>
              <w:rPr>
                <w:rFonts w:ascii="Calibri" w:hAnsi="Calibri"/>
                <w:b/>
                <w:i w:val="0"/>
                <w:color w:val="FFFFFF"/>
                <w:sz w:val="23"/>
              </w:rPr>
              <w:t>5 Things to Remember</w:t>
            </w:r>
          </w:p>
        </w:tc>
      </w:tr>
    </w:tbl>
    <w:p>
      <w:pPr>
        <w:spacing w:before="80" w:after="80"/>
      </w:pPr>
    </w:p>
    <w:p>
      <w:pPr>
        <w:spacing w:before="60" w:after="60"/>
      </w:pPr>
    </w:p>
    <w:tbl>
      <w:tblPr>
        <w:tblW w:type="auto" w:w="0"/>
        <w:jc w:val="left"/>
        <w:tblLook w:firstColumn="1" w:firstRow="1" w:lastColumn="0" w:lastRow="0" w:noHBand="0" w:noVBand="1" w:val="04A0"/>
      </w:tblPr>
      <w:tblGrid>
        <w:gridCol w:w="4658"/>
        <w:gridCol w:w="4658"/>
      </w:tblGrid>
      <w:tr>
        <w:tc>
          <w:tcPr>
            <w:tcW w:type="dxa" w:w="4658"/>
            <w:shd w:val="clear" w:color="auto" w:fill="F4F6F8"/>
            <w:tcBorders>
              <w:top w:val="single" w:sz="8" w:space="0" w:color="003372"/>
              <w:left w:val="single" w:sz="8" w:space="0" w:color="003372"/>
              <w:bottom w:val="single" w:sz="8" w:space="0" w:color="003372"/>
              <w:right w:val="single" w:sz="8" w:space="0" w:color="003372"/>
            </w:tcBorders>
          </w:tcPr>
          <w:p>
            <w:pPr>
              <w:spacing w:before="140"/>
              <w:ind w:left="160"/>
            </w:pPr>
            <w:r>
              <w:rPr>
                <w:rFonts w:ascii="Courier New" w:hAnsi="Courier New"/>
                <w:b/>
                <w:i w:val="0"/>
                <w:color w:val="003372"/>
                <w:sz w:val="26"/>
              </w:rPr>
              <w:t xml:space="preserve">01  </w:t>
            </w:r>
            <w:r>
              <w:rPr>
                <w:rFonts w:ascii="Calibri" w:hAnsi="Calibri"/>
                <w:b/>
                <w:i w:val="0"/>
                <w:color w:val="003372"/>
                <w:sz w:val="19"/>
              </w:rPr>
              <w:t>SWIFT moves messages, not money</w:t>
              <w:br/>
            </w:r>
          </w:p>
          <w:p>
            <w:pPr>
              <w:spacing w:after="140"/>
              <w:ind w:left="160"/>
            </w:pPr>
            <w:r>
              <w:rPr>
                <w:rFonts w:ascii="Calibri" w:hAnsi="Calibri"/>
                <w:b w:val="0"/>
                <w:i w:val="0"/>
                <w:color w:val="222222"/>
                <w:sz w:val="18"/>
              </w:rPr>
              <w:t>It is a secure messaging network connecting 11,000+ banks — not a bank itself.</w:t>
            </w:r>
          </w:p>
        </w:tc>
        <w:tc>
          <w:tcPr>
            <w:tcW w:type="dxa" w:w="4658"/>
            <w:shd w:val="clear" w:color="auto" w:fill="F4F6F8"/>
            <w:tcBorders>
              <w:top w:val="single" w:sz="8" w:space="0" w:color="0070C0"/>
              <w:left w:val="single" w:sz="8" w:space="0" w:color="0070C0"/>
              <w:bottom w:val="single" w:sz="8" w:space="0" w:color="0070C0"/>
              <w:right w:val="single" w:sz="8" w:space="0" w:color="0070C0"/>
            </w:tcBorders>
          </w:tcPr>
          <w:p>
            <w:pPr>
              <w:spacing w:before="140"/>
              <w:ind w:left="160"/>
            </w:pPr>
            <w:r>
              <w:rPr>
                <w:rFonts w:ascii="Courier New" w:hAnsi="Courier New"/>
                <w:b/>
                <w:i w:val="0"/>
                <w:color w:val="0070C0"/>
                <w:sz w:val="26"/>
              </w:rPr>
              <w:t xml:space="preserve">02  </w:t>
            </w:r>
            <w:r>
              <w:rPr>
                <w:rFonts w:ascii="Calibri" w:hAnsi="Calibri"/>
                <w:b/>
                <w:i w:val="0"/>
                <w:color w:val="0070C0"/>
                <w:sz w:val="19"/>
              </w:rPr>
              <w:t>BIC codes are bank addresses</w:t>
              <w:br/>
            </w:r>
          </w:p>
          <w:p>
            <w:pPr>
              <w:spacing w:after="140"/>
              <w:ind w:left="160"/>
            </w:pPr>
            <w:r>
              <w:rPr>
                <w:rFonts w:ascii="Calibri" w:hAnsi="Calibri"/>
                <w:b w:val="0"/>
                <w:i w:val="0"/>
                <w:color w:val="222222"/>
                <w:sz w:val="18"/>
              </w:rPr>
              <w:t>Every institution has a unique 8/11-character BIC for routing on the SWIFT network.</w:t>
            </w:r>
          </w:p>
        </w:tc>
      </w:tr>
    </w:tbl>
    <w:p>
      <w:pPr>
        <w:spacing w:before="60" w:after="60"/>
      </w:pPr>
    </w:p>
    <w:tbl>
      <w:tblPr>
        <w:tblW w:type="auto" w:w="0"/>
        <w:jc w:val="left"/>
        <w:tblLook w:firstColumn="1" w:firstRow="1" w:lastColumn="0" w:lastRow="0" w:noHBand="0" w:noVBand="1" w:val="04A0"/>
      </w:tblPr>
      <w:tblGrid>
        <w:gridCol w:w="4658"/>
        <w:gridCol w:w="4658"/>
      </w:tblGrid>
      <w:tr>
        <w:tc>
          <w:tcPr>
            <w:tcW w:type="dxa" w:w="4658"/>
            <w:shd w:val="clear" w:color="auto" w:fill="F4F6F8"/>
            <w:tcBorders>
              <w:top w:val="single" w:sz="8" w:space="0" w:color="008B8B"/>
              <w:left w:val="single" w:sz="8" w:space="0" w:color="008B8B"/>
              <w:bottom w:val="single" w:sz="8" w:space="0" w:color="008B8B"/>
              <w:right w:val="single" w:sz="8" w:space="0" w:color="008B8B"/>
            </w:tcBorders>
          </w:tcPr>
          <w:p>
            <w:pPr>
              <w:spacing w:before="140"/>
              <w:ind w:left="160"/>
            </w:pPr>
            <w:r>
              <w:rPr>
                <w:rFonts w:ascii="Courier New" w:hAnsi="Courier New"/>
                <w:b/>
                <w:i w:val="0"/>
                <w:color w:val="008B8B"/>
                <w:sz w:val="26"/>
              </w:rPr>
              <w:t xml:space="preserve">03  </w:t>
            </w:r>
            <w:r>
              <w:rPr>
                <w:rFonts w:ascii="Calibri" w:hAnsi="Calibri"/>
                <w:b/>
                <w:i w:val="0"/>
                <w:color w:val="008B8B"/>
                <w:sz w:val="19"/>
              </w:rPr>
              <w:t>Correspondent banks are the connectors</w:t>
              <w:br/>
            </w:r>
          </w:p>
          <w:p>
            <w:pPr>
              <w:spacing w:after="140"/>
              <w:ind w:left="160"/>
            </w:pPr>
            <w:r>
              <w:rPr>
                <w:rFonts w:ascii="Calibri" w:hAnsi="Calibri"/>
                <w:b w:val="0"/>
                <w:i w:val="0"/>
                <w:color w:val="222222"/>
                <w:sz w:val="18"/>
              </w:rPr>
              <w:t>Banks with no direct relationship route payments through pre-arranged intermediaries.</w:t>
            </w:r>
          </w:p>
        </w:tc>
        <w:tc>
          <w:tcPr>
            <w:tcW w:type="dxa" w:w="4658"/>
            <w:shd w:val="clear" w:color="auto" w:fill="F4F6F8"/>
            <w:tcBorders>
              <w:top w:val="single" w:sz="8" w:space="0" w:color="007A4C"/>
              <w:left w:val="single" w:sz="8" w:space="0" w:color="007A4C"/>
              <w:bottom w:val="single" w:sz="8" w:space="0" w:color="007A4C"/>
              <w:right w:val="single" w:sz="8" w:space="0" w:color="007A4C"/>
            </w:tcBorders>
          </w:tcPr>
          <w:p>
            <w:pPr>
              <w:spacing w:before="140"/>
              <w:ind w:left="160"/>
            </w:pPr>
            <w:r>
              <w:rPr>
                <w:rFonts w:ascii="Courier New" w:hAnsi="Courier New"/>
                <w:b/>
                <w:i w:val="0"/>
                <w:color w:val="007A4C"/>
                <w:sz w:val="26"/>
              </w:rPr>
              <w:t xml:space="preserve">04  </w:t>
            </w:r>
            <w:r>
              <w:rPr>
                <w:rFonts w:ascii="Calibri" w:hAnsi="Calibri"/>
                <w:b/>
                <w:i w:val="0"/>
                <w:color w:val="007A4C"/>
                <w:sz w:val="19"/>
              </w:rPr>
              <w:t>Nostro accounts fund the system</w:t>
              <w:br/>
            </w:r>
          </w:p>
          <w:p>
            <w:pPr>
              <w:spacing w:after="140"/>
              <w:ind w:left="160"/>
            </w:pPr>
            <w:r>
              <w:rPr>
                <w:rFonts w:ascii="Calibri" w:hAnsi="Calibri"/>
                <w:b w:val="0"/>
                <w:i w:val="0"/>
                <w:color w:val="222222"/>
                <w:sz w:val="18"/>
              </w:rPr>
              <w:t>No money crosses borders. Pre-funded inter-bank accounts are debited and credited.</w:t>
            </w:r>
          </w:p>
        </w:tc>
      </w:tr>
    </w:tbl>
    <w:p>
      <w:pPr>
        <w:spacing w:before="60" w:after="60"/>
      </w:pPr>
    </w:p>
    <w:tbl>
      <w:tblPr>
        <w:tblW w:type="auto" w:w="0"/>
        <w:jc w:val="left"/>
        <w:tblLook w:firstColumn="1" w:firstRow="1" w:lastColumn="0" w:lastRow="0" w:noHBand="0" w:noVBand="1" w:val="04A0"/>
      </w:tblPr>
      <w:tblGrid>
        <w:gridCol w:w="9317"/>
      </w:tblGrid>
      <w:tr>
        <w:tc>
          <w:tcPr>
            <w:tcW w:type="dxa" w:w="4658"/>
            <w:shd w:val="clear" w:color="auto" w:fill="F4F6F8"/>
            <w:tcBorders>
              <w:top w:val="single" w:sz="8" w:space="0" w:color="D46A00"/>
              <w:left w:val="single" w:sz="8" w:space="0" w:color="D46A00"/>
              <w:bottom w:val="single" w:sz="8" w:space="0" w:color="D46A00"/>
              <w:right w:val="single" w:sz="8" w:space="0" w:color="D46A00"/>
            </w:tcBorders>
          </w:tcPr>
          <w:p>
            <w:pPr>
              <w:spacing w:before="140"/>
              <w:ind w:left="160"/>
            </w:pPr>
            <w:r>
              <w:rPr>
                <w:rFonts w:ascii="Courier New" w:hAnsi="Courier New"/>
                <w:b/>
                <w:i w:val="0"/>
                <w:color w:val="D46A00"/>
                <w:sz w:val="26"/>
              </w:rPr>
              <w:t xml:space="preserve">05  </w:t>
            </w:r>
            <w:r>
              <w:rPr>
                <w:rFonts w:ascii="Calibri" w:hAnsi="Calibri"/>
                <w:b/>
                <w:i w:val="0"/>
                <w:color w:val="D46A00"/>
                <w:sz w:val="19"/>
              </w:rPr>
              <w:t>ISO 20022 is the future</w:t>
              <w:br/>
            </w:r>
          </w:p>
          <w:p>
            <w:pPr>
              <w:spacing w:after="140"/>
              <w:ind w:left="160"/>
            </w:pPr>
            <w:r>
              <w:rPr>
                <w:rFonts w:ascii="Calibri" w:hAnsi="Calibri"/>
                <w:b w:val="0"/>
                <w:i w:val="0"/>
                <w:color w:val="222222"/>
                <w:sz w:val="18"/>
              </w:rPr>
              <w:t>The industry is replacing legacy MT messages with rich XML — better data, better compliance.</w:t>
            </w:r>
          </w:p>
        </w:tc>
      </w:tr>
    </w:tbl>
    <w:p>
      <w:pPr>
        <w:spacing w:before="60" w:after="60"/>
      </w:pPr>
    </w:p>
    <w:p>
      <w:pPr>
        <w:spacing w:before="120" w:after="120"/>
      </w:pPr>
    </w:p>
    <w:tbl>
      <w:tblPr>
        <w:tblW w:type="auto" w:w="0"/>
        <w:jc w:val="left"/>
        <w:tblLook w:firstColumn="1" w:firstRow="1" w:lastColumn="0" w:lastRow="0" w:noHBand="0" w:noVBand="1" w:val="04A0"/>
      </w:tblPr>
      <w:tblGrid>
        <w:gridCol w:w="9317"/>
      </w:tblGrid>
      <w:tr>
        <w:tc>
          <w:tcPr>
            <w:tcW w:type="dxa" w:w="9317"/>
            <w:shd w:val="clear" w:color="auto" w:fill="2C3E5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240" w:after="80"/>
              <w:jc w:val="center"/>
            </w:pPr>
            <w:r>
              <w:rPr>
                <w:rFonts w:ascii="Calibri" w:hAnsi="Calibri"/>
                <w:b/>
                <w:i w:val="0"/>
                <w:color w:val="FFFFFF"/>
                <w:sz w:val="22"/>
              </w:rPr>
              <w:t>Found this useful? Share it with your network.</w:t>
            </w:r>
          </w:p>
          <w:p>
            <w:pPr>
              <w:spacing w:after="120"/>
              <w:jc w:val="center"/>
            </w:pPr>
            <w:r>
              <w:rPr>
                <w:rFonts w:ascii="Calibri" w:hAnsi="Calibri"/>
                <w:b w:val="0"/>
                <w:i/>
                <w:color w:val="E9C46A"/>
                <w:sz w:val="18"/>
              </w:rPr>
              <w:t>Next in series: SWIFT Message Types Deep Dive — MT103, MT202, MT940 &amp; CAMT.053 Explained</w:t>
            </w:r>
          </w:p>
          <w:p>
            <w:pPr>
              <w:spacing w:after="240"/>
              <w:jc w:val="center"/>
            </w:pPr>
            <w:r>
              <w:rPr>
                <w:rFonts w:ascii="Calibri" w:hAnsi="Calibri"/>
                <w:b w:val="0"/>
                <w:i/>
                <w:color w:val="BFBFBF"/>
                <w:sz w:val="16"/>
              </w:rPr>
              <w:t>#SWIFT  #CrossBorderPayments  #FinancialSystems  #ISO20022  #Banking  #KnowledgeSeries</w:t>
            </w:r>
          </w:p>
        </w:tc>
      </w:tr>
    </w:tbl>
    <w:p>
      <w:pPr>
        <w:spacing w:before="80" w:after="80"/>
      </w:pPr>
    </w:p>
    <w:tbl>
      <w:tblPr>
        <w:tblW w:type="auto" w:w="0"/>
        <w:tblLook w:firstColumn="1" w:firstRow="1" w:lastColumn="0" w:lastRow="0" w:noHBand="0" w:noVBand="1" w:val="04A0"/>
      </w:tblPr>
      <w:tblGrid>
        <w:gridCol w:w="9317"/>
      </w:tblGrid>
      <w:tr>
        <w:tc>
          <w:tcPr>
            <w:tcW w:type="dxa" w:w="9317"/>
            <w:shd w:val="clear" w:color="auto" w:fill="00337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20" w:after="120"/>
              <w:jc w:val="center"/>
            </w:pPr>
            <w:r>
              <w:rPr>
                <w:rFonts w:ascii="Calibri" w:hAnsi="Calibri"/>
                <w:b w:val="0"/>
                <w:i w:val="0"/>
                <w:color w:val="BFBFBF"/>
                <w:sz w:val="15"/>
              </w:rPr>
              <w:t>Financial Systems Knowledge Series  ·  v1.0  ·  April 2026  ·  For educational purposes only — not financial advice</w:t>
            </w:r>
          </w:p>
        </w:tc>
      </w:tr>
    </w:tbl>
    <w:sectPr w:rsidR="00FC693F" w:rsidRPr="0006063C" w:rsidSect="00034616">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