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C4C9D" w14:textId="77777777" w:rsidR="006400F8" w:rsidRDefault="00000000">
      <w:pPr>
        <w:jc w:val="center"/>
      </w:pPr>
      <w:r>
        <w:rPr>
          <w:b/>
          <w:color w:val="1F4E79"/>
          <w:sz w:val="40"/>
        </w:rPr>
        <w:t>Oracle Project - Motivation and Opportunities</w:t>
      </w:r>
    </w:p>
    <w:p w14:paraId="2D242556" w14:textId="17A51250" w:rsidR="006400F8" w:rsidRPr="00767A6B" w:rsidRDefault="005412E2">
      <w:pPr>
        <w:jc w:val="center"/>
        <w:rPr>
          <w:lang w:val="en-GB"/>
        </w:rPr>
      </w:pPr>
      <w:r w:rsidRPr="00767A6B">
        <w:rPr>
          <w:i/>
          <w:color w:val="606060"/>
          <w:sz w:val="21"/>
          <w:lang w:val="en-GB"/>
        </w:rPr>
        <w:t>Stefano Della Valle</w:t>
      </w:r>
      <w:r w:rsidR="00A204CD" w:rsidRPr="00767A6B">
        <w:rPr>
          <w:i/>
          <w:color w:val="606060"/>
          <w:sz w:val="21"/>
          <w:lang w:val="en-GB"/>
        </w:rPr>
        <w:t xml:space="preserve"> – SDV Consulting - ObjectID</w:t>
      </w:r>
    </w:p>
    <w:p w14:paraId="5EB92949" w14:textId="77777777" w:rsidR="006400F8" w:rsidRPr="00767A6B" w:rsidRDefault="006400F8">
      <w:pPr>
        <w:rPr>
          <w:lang w:val="en-GB"/>
        </w:rPr>
      </w:pPr>
    </w:p>
    <w:p w14:paraId="0071B595" w14:textId="77777777" w:rsidR="006400F8" w:rsidRDefault="00000000">
      <w:pPr>
        <w:pStyle w:val="Titolo1"/>
      </w:pPr>
      <w:r>
        <w:t>Introduction</w:t>
      </w:r>
    </w:p>
    <w:p w14:paraId="118CCF2B" w14:textId="7EEC4077" w:rsidR="00C84410" w:rsidRPr="00C84410" w:rsidRDefault="00C84410" w:rsidP="00C84410">
      <w:pPr>
        <w:pStyle w:val="Titolo1"/>
        <w:rPr>
          <w:rFonts w:ascii="Calibri" w:eastAsiaTheme="minorEastAsia" w:hAnsi="Calibri" w:cstheme="minorBidi"/>
          <w:b w:val="0"/>
          <w:bCs w:val="0"/>
          <w:color w:val="auto"/>
          <w:sz w:val="22"/>
          <w:szCs w:val="22"/>
        </w:rPr>
      </w:pPr>
      <w:r w:rsidRPr="00C84410">
        <w:rPr>
          <w:rFonts w:ascii="Calibri" w:eastAsiaTheme="minorEastAsia" w:hAnsi="Calibri" w:cstheme="minorBidi"/>
          <w:b w:val="0"/>
          <w:bCs w:val="0"/>
          <w:color w:val="auto"/>
          <w:sz w:val="22"/>
          <w:szCs w:val="22"/>
        </w:rPr>
        <w:t>Oracle infrastructure emerged across major blockchain ecosystems to overcome a fundamental limitation of distributed ledgers: smart contracts cannot natively access external data sources or enterprise systems.</w:t>
      </w:r>
    </w:p>
    <w:p w14:paraId="7488B866" w14:textId="48721FFF" w:rsidR="00C84410" w:rsidRPr="00C84410" w:rsidRDefault="00C84410" w:rsidP="00C84410">
      <w:pPr>
        <w:pStyle w:val="Titolo1"/>
        <w:rPr>
          <w:rFonts w:ascii="Calibri" w:eastAsiaTheme="minorEastAsia" w:hAnsi="Calibri" w:cstheme="minorBidi"/>
          <w:b w:val="0"/>
          <w:bCs w:val="0"/>
          <w:color w:val="auto"/>
          <w:sz w:val="22"/>
          <w:szCs w:val="22"/>
        </w:rPr>
      </w:pPr>
      <w:r w:rsidRPr="00C84410">
        <w:rPr>
          <w:rFonts w:ascii="Calibri" w:eastAsiaTheme="minorEastAsia" w:hAnsi="Calibri" w:cstheme="minorBidi"/>
          <w:b w:val="0"/>
          <w:bCs w:val="0"/>
          <w:color w:val="auto"/>
          <w:sz w:val="22"/>
          <w:szCs w:val="22"/>
        </w:rPr>
        <w:t xml:space="preserve">The converse limitation is equally relevant. Conventional digital applications cannot interact with blockchain-based logic in an efficient and reliable manner unless they are specifically designed to operate through wallets, nodes, and transaction-based execution models. This explains, in part, the early adoption of private and </w:t>
      </w:r>
      <w:proofErr w:type="gramStart"/>
      <w:r w:rsidRPr="00C84410">
        <w:rPr>
          <w:rFonts w:ascii="Calibri" w:eastAsiaTheme="minorEastAsia" w:hAnsi="Calibri" w:cstheme="minorBidi"/>
          <w:b w:val="0"/>
          <w:bCs w:val="0"/>
          <w:color w:val="auto"/>
          <w:sz w:val="22"/>
          <w:szCs w:val="22"/>
        </w:rPr>
        <w:t>permissioned</w:t>
      </w:r>
      <w:proofErr w:type="gramEnd"/>
      <w:r w:rsidRPr="00C84410">
        <w:rPr>
          <w:rFonts w:ascii="Calibri" w:eastAsiaTheme="minorEastAsia" w:hAnsi="Calibri" w:cstheme="minorBidi"/>
          <w:b w:val="0"/>
          <w:bCs w:val="0"/>
          <w:color w:val="auto"/>
          <w:sz w:val="22"/>
          <w:szCs w:val="22"/>
        </w:rPr>
        <w:t xml:space="preserve"> blockchain frameworks, which often incorporate oracle mechanisms more easily aligned with enterprise integration requirements.</w:t>
      </w:r>
    </w:p>
    <w:p w14:paraId="3C1720BC" w14:textId="77777777" w:rsidR="00C84410" w:rsidRPr="00C84410" w:rsidRDefault="00C84410" w:rsidP="00C84410">
      <w:pPr>
        <w:pStyle w:val="Titolo1"/>
        <w:rPr>
          <w:rFonts w:ascii="Calibri" w:eastAsiaTheme="minorEastAsia" w:hAnsi="Calibri" w:cstheme="minorBidi"/>
          <w:b w:val="0"/>
          <w:bCs w:val="0"/>
          <w:color w:val="auto"/>
          <w:sz w:val="22"/>
          <w:szCs w:val="22"/>
        </w:rPr>
      </w:pPr>
      <w:r w:rsidRPr="00C84410">
        <w:rPr>
          <w:rFonts w:ascii="Calibri" w:eastAsiaTheme="minorEastAsia" w:hAnsi="Calibri" w:cstheme="minorBidi"/>
          <w:b w:val="0"/>
          <w:bCs w:val="0"/>
          <w:color w:val="auto"/>
          <w:sz w:val="22"/>
          <w:szCs w:val="22"/>
        </w:rPr>
        <w:t>For this reason, oracle infrastructure should be regarded as a foundational enabler of blockchain adoption, particularly in high-value domains such as certification, notarization, compliance, and trusted-data workflows, where integrity, traceability, and resistance to tampering are essential, and where only a decentralized oracle - by requiring multiple independent nodes to perform the same task and converge on a result through a verifiable consensus process - can address the underlying trust issue that a centralized oracle merely transfers to a single operator.</w:t>
      </w:r>
    </w:p>
    <w:p w14:paraId="56D3A69C" w14:textId="77777777" w:rsidR="00C84410" w:rsidRDefault="00C84410" w:rsidP="00C84410">
      <w:pPr>
        <w:pStyle w:val="Titolo1"/>
        <w:rPr>
          <w:rFonts w:ascii="Calibri" w:eastAsiaTheme="minorEastAsia" w:hAnsi="Calibri" w:cstheme="minorBidi"/>
          <w:b w:val="0"/>
          <w:bCs w:val="0"/>
          <w:color w:val="auto"/>
          <w:sz w:val="22"/>
          <w:szCs w:val="22"/>
        </w:rPr>
      </w:pPr>
      <w:r w:rsidRPr="00C84410">
        <w:rPr>
          <w:rFonts w:ascii="Calibri" w:eastAsiaTheme="minorEastAsia" w:hAnsi="Calibri" w:cstheme="minorBidi"/>
          <w:b w:val="0"/>
          <w:bCs w:val="0"/>
          <w:color w:val="auto"/>
          <w:sz w:val="22"/>
          <w:szCs w:val="22"/>
        </w:rPr>
        <w:t>The resulting output is therefore more resilient to manipulation, inherently auditable, and suitable to serve as a credible root of trust for both conventional applications and smart-contract-based systems on IOTA.</w:t>
      </w:r>
    </w:p>
    <w:p w14:paraId="23C64B24" w14:textId="5D4262C2" w:rsidR="00C84410" w:rsidRPr="00C84410" w:rsidRDefault="00C84410" w:rsidP="00C84410">
      <w:pPr>
        <w:pStyle w:val="Titolo1"/>
      </w:pPr>
      <w:r w:rsidRPr="00C84410">
        <w:rPr>
          <w:rStyle w:val="Enfasigrassetto"/>
          <w:b/>
          <w:bCs/>
        </w:rPr>
        <w:t>Technical and Organizational Premise</w:t>
      </w:r>
    </w:p>
    <w:p w14:paraId="093D5FA6" w14:textId="77777777" w:rsidR="00C84410" w:rsidRPr="00C84410" w:rsidRDefault="00C84410" w:rsidP="00C84410">
      <w:pPr>
        <w:rPr>
          <w:lang w:val="en-GB"/>
        </w:rPr>
      </w:pPr>
      <w:r w:rsidRPr="00C84410">
        <w:rPr>
          <w:lang w:val="en-GB"/>
        </w:rPr>
        <w:t>The design of an oracle no longer presents significant technological challenges. The real challenge lies in ensuring that the results generated by the oracle can be regarded as trustworthy. This, in turn, requires that the tasks producing such results be executed in a decentralized manner by multiple independent nodes.</w:t>
      </w:r>
    </w:p>
    <w:p w14:paraId="128B264B" w14:textId="77777777" w:rsidR="00C84410" w:rsidRPr="00C84410" w:rsidRDefault="00C84410" w:rsidP="00C84410">
      <w:pPr>
        <w:rPr>
          <w:lang w:val="en-GB"/>
        </w:rPr>
      </w:pPr>
      <w:r w:rsidRPr="00C84410">
        <w:rPr>
          <w:lang w:val="en-GB"/>
        </w:rPr>
        <w:t>While this additional layer is not particularly problematic from a technological standpoint, it raises a far more substantial organizational issue: how should the nodes entrusted with task execution be selected?</w:t>
      </w:r>
    </w:p>
    <w:p w14:paraId="7F48CD8E" w14:textId="77777777" w:rsidR="00C84410" w:rsidRPr="00C84410" w:rsidRDefault="00C84410" w:rsidP="00C84410">
      <w:pPr>
        <w:rPr>
          <w:lang w:val="en-GB"/>
        </w:rPr>
      </w:pPr>
      <w:r w:rsidRPr="00C84410">
        <w:rPr>
          <w:lang w:val="en-GB"/>
        </w:rPr>
        <w:t>This dilemma, which is inherent in all decentralized systems, is addressed by requiring a commitment from participating nodes, thereby mirroring the Proof-of-Stake logic that underpins the network itself.</w:t>
      </w:r>
    </w:p>
    <w:p w14:paraId="2702B746" w14:textId="77777777" w:rsidR="00C84410" w:rsidRPr="00C84410" w:rsidRDefault="00C84410" w:rsidP="00C84410">
      <w:pPr>
        <w:rPr>
          <w:lang w:val="en-GB"/>
        </w:rPr>
      </w:pPr>
      <w:r w:rsidRPr="00C84410">
        <w:rPr>
          <w:lang w:val="en-GB"/>
        </w:rPr>
        <w:t>However, whereas operating a validator node in a decentralized network is currently perceived as a relatively low-risk activity with predictable token-based returns, the economic return for a node participating in the operation of a decentralized oracle cannot be determined in advance with the same degree of certainty.</w:t>
      </w:r>
    </w:p>
    <w:p w14:paraId="2E3DC77B" w14:textId="77777777" w:rsidR="00C84410" w:rsidRPr="00C84410" w:rsidRDefault="00C84410" w:rsidP="00C84410">
      <w:pPr>
        <w:rPr>
          <w:lang w:val="en-GB"/>
        </w:rPr>
      </w:pPr>
      <w:r w:rsidRPr="00C84410">
        <w:rPr>
          <w:lang w:val="en-GB"/>
        </w:rPr>
        <w:t xml:space="preserve">Having ruled out from the outset the creation of a governance token and the launch of an ICO, I also excluded the possibility that oracle node operators should be free to join the system without qualification. </w:t>
      </w:r>
      <w:r w:rsidRPr="00C84410">
        <w:rPr>
          <w:lang w:val="en-GB"/>
        </w:rPr>
        <w:lastRenderedPageBreak/>
        <w:t>At the same time, I was unwilling to introduce a centralized selection model that would undermine the credibility of the oracle. For this reason, I adopted a simple and effective solution: participation in the oracle requires proof that the operator is also the controller of a validator node within the IOTA validator committee, through possession of the corresponding Validator Controller Cap.</w:t>
      </w:r>
    </w:p>
    <w:p w14:paraId="131A855D" w14:textId="77777777" w:rsidR="00C84410" w:rsidRPr="00C84410" w:rsidRDefault="00C84410" w:rsidP="00C84410">
      <w:pPr>
        <w:rPr>
          <w:lang w:val="en-GB"/>
        </w:rPr>
      </w:pPr>
      <w:r w:rsidRPr="00C84410">
        <w:rPr>
          <w:lang w:val="en-GB"/>
        </w:rPr>
        <w:t>The oracle is therefore supported by trusted actors who are already known to the community, which provides it with authority and credibility from the outset.</w:t>
      </w:r>
    </w:p>
    <w:p w14:paraId="7B7B05CA" w14:textId="77777777" w:rsidR="00C84410" w:rsidRPr="00C84410" w:rsidRDefault="00C84410" w:rsidP="00C84410">
      <w:pPr>
        <w:rPr>
          <w:lang w:val="en-GB"/>
        </w:rPr>
      </w:pPr>
      <w:r w:rsidRPr="00C84410">
        <w:rPr>
          <w:lang w:val="en-GB"/>
        </w:rPr>
        <w:t>One organizational issue nevertheless remains: achieving the highest possible level of visibility and trustworthiness in the shortest possible time, so that major projects currently being developed on the IOTA network may confidently evaluate the oracle as an essential functional component of their business architecture.</w:t>
      </w:r>
    </w:p>
    <w:p w14:paraId="399A21C0" w14:textId="77777777" w:rsidR="00C84410" w:rsidRPr="00C84410" w:rsidRDefault="00C84410" w:rsidP="00C84410">
      <w:pPr>
        <w:rPr>
          <w:lang w:val="en-GB"/>
        </w:rPr>
      </w:pPr>
      <w:r w:rsidRPr="00C84410">
        <w:rPr>
          <w:lang w:val="en-GB"/>
        </w:rPr>
        <w:t>Given IOTA’s strategic focus on real-world adoption - a focus that already underpins projects of considerable significance - there can be no doubt that the service provided by a decentralized oracle is both valuable and necessary. However, if such a service, despite being highly decentralized in operational terms, were to be formally offered by a small and little-known company, it is reasonable to assume that larger projects might prefer to develop their own in-house oracle solutions.</w:t>
      </w:r>
    </w:p>
    <w:p w14:paraId="690D96E4" w14:textId="1A2A4D5E" w:rsidR="00C84410" w:rsidRPr="00C84410" w:rsidRDefault="00C84410" w:rsidP="00C84410">
      <w:pPr>
        <w:rPr>
          <w:lang w:val="en-GB"/>
        </w:rPr>
      </w:pPr>
      <w:r w:rsidRPr="00C84410">
        <w:rPr>
          <w:lang w:val="en-GB"/>
        </w:rPr>
        <w:t xml:space="preserve">For this reason, I propose that the project be formally incorporated among the solutions provided by the IOTA Foundation and supported by validator nodes. All appropriate forms of collaboration with SDV Consulting / Stefano Della Valle would remain open, particularly </w:t>
      </w:r>
      <w:proofErr w:type="gramStart"/>
      <w:r w:rsidRPr="00C84410">
        <w:rPr>
          <w:lang w:val="en-GB"/>
        </w:rPr>
        <w:t>with regard to</w:t>
      </w:r>
      <w:proofErr w:type="gramEnd"/>
      <w:r w:rsidRPr="00C84410">
        <w:rPr>
          <w:lang w:val="en-GB"/>
        </w:rPr>
        <w:t xml:space="preserve"> supporting the project’s evolution and its operational coordination, including template management and support for validator nodes</w:t>
      </w:r>
      <w:r>
        <w:rPr>
          <w:lang w:val="en-GB"/>
        </w:rPr>
        <w:t xml:space="preserve"> and integrators.</w:t>
      </w:r>
    </w:p>
    <w:p w14:paraId="4962A85B" w14:textId="77777777" w:rsidR="00C84410" w:rsidRDefault="00C84410" w:rsidP="00C84410">
      <w:pPr>
        <w:rPr>
          <w:lang w:val="en-GB"/>
        </w:rPr>
      </w:pPr>
      <w:r w:rsidRPr="00C84410">
        <w:rPr>
          <w:lang w:val="en-GB"/>
        </w:rPr>
        <w:t>Within such an organizational framework, I believe that the Decentralized Oracle can genuinely become a foundational component for connecting the real world to the IOTA core network and, consequently, for enabling true real-world adoption.</w:t>
      </w:r>
    </w:p>
    <w:p w14:paraId="243C2CA0" w14:textId="1E4E6FAD" w:rsidR="006400F8" w:rsidRDefault="00000000">
      <w:pPr>
        <w:pStyle w:val="Titolo1"/>
      </w:pPr>
      <w:r>
        <w:t>Problems and solutions</w:t>
      </w:r>
    </w:p>
    <w:p w14:paraId="3388C241" w14:textId="77777777" w:rsidR="006400F8" w:rsidRDefault="00000000">
      <w:pPr>
        <w:pStyle w:val="Titolo2"/>
      </w:pPr>
      <w:r>
        <w:t>Secure and certified retrieval of URL-based data</w:t>
      </w:r>
    </w:p>
    <w:p w14:paraId="20910012" w14:textId="77777777" w:rsidR="006400F8" w:rsidRDefault="00000000">
      <w:r>
        <w:t>When business logic that is normally executed inside traditional systems - such as ERP, CRM, or vertical enterprise platforms - is moved to a blockchain environment, the smart contract must rely on external data that is not only available, but also trustworthy. This requirement is particularly strict because blockchain transactions are irreversible and their effects are durable.</w:t>
      </w:r>
    </w:p>
    <w:p w14:paraId="75BC7ED0" w14:textId="77777777" w:rsidR="006400F8" w:rsidRDefault="00000000">
      <w:r>
        <w:t>A decentralized oracle can supply a trusted acquisition layer for external data collected from public or authenticated URLs. The business system that consumes the oracle output can therefore base its next process step on information that is:</w:t>
      </w:r>
    </w:p>
    <w:p w14:paraId="5B59EE51" w14:textId="77777777" w:rsidR="006400F8" w:rsidRDefault="00000000">
      <w:pPr>
        <w:pStyle w:val="Puntoelenco"/>
      </w:pPr>
      <w:r>
        <w:t>Real, because it was collected from an identified external source</w:t>
      </w:r>
    </w:p>
    <w:p w14:paraId="241883E7" w14:textId="77777777" w:rsidR="006400F8" w:rsidRDefault="00000000">
      <w:pPr>
        <w:pStyle w:val="Puntoelenco"/>
      </w:pPr>
      <w:r>
        <w:t>Immutable, because the result can be anchored on-chain</w:t>
      </w:r>
    </w:p>
    <w:p w14:paraId="5B88ECAA" w14:textId="77777777" w:rsidR="006400F8" w:rsidRDefault="00000000">
      <w:pPr>
        <w:pStyle w:val="Puntoelenco"/>
      </w:pPr>
      <w:r>
        <w:t>Verifiable, because the acquisition and consensus path can be reconstructed and audited</w:t>
      </w:r>
    </w:p>
    <w:p w14:paraId="2EEC14FE" w14:textId="77777777" w:rsidR="006400F8" w:rsidRDefault="00000000">
      <w:r>
        <w:t xml:space="preserve">In operational terms, this reduces the technical and organizational burden required to defend the overall business process against manipulation, forged inputs, and malicious interference. The value is not limited to </w:t>
      </w:r>
      <w:r>
        <w:lastRenderedPageBreak/>
        <w:t>blockchain-native applications; it also improves the security posture of conventional software that consumes the oracle result as a trusted external fact.</w:t>
      </w:r>
    </w:p>
    <w:p w14:paraId="31EE28F2" w14:textId="77777777" w:rsidR="006400F8" w:rsidRDefault="00000000">
      <w:pPr>
        <w:pStyle w:val="Titolo2"/>
      </w:pPr>
      <w:r>
        <w:t>Decentralized document storage</w:t>
      </w:r>
    </w:p>
    <w:p w14:paraId="18A58922" w14:textId="77777777" w:rsidR="006400F8" w:rsidRDefault="00000000">
      <w:r>
        <w:t>A blockchain - and, in this project, IOTA in particular - is an effective trust layer for anchoring public information whose integrity and persistence must be preserved over time. Yet no mainstream blockchain is economically suitable for storing large and complex documents directly on-chain.</w:t>
      </w:r>
    </w:p>
    <w:p w14:paraId="218AA031" w14:textId="77777777" w:rsidR="006400F8" w:rsidRDefault="00000000">
      <w:r>
        <w:t>This creates a major limitation for applications that manage rich documents, media files, certificates, or evidentiary records. In notarization scenarios, for example, the blockchain can anchor the identity of a document, but the application operator is still left with the expensive responsibility of protecting the actual file against alteration, deletion, or silent replacement.</w:t>
      </w:r>
    </w:p>
    <w:p w14:paraId="5E302C2D" w14:textId="77777777" w:rsidR="006400F8" w:rsidRDefault="00000000">
      <w:r>
        <w:t>A practical technical complement is IPFS. By allowing the same content to be pinned on multiple nodes, IPFS introduces physical redundancy and content-addressed retrieval. It also abstracts away the specific geographic location of the stored file, making access independent from any single hosting endpoint.</w:t>
      </w:r>
    </w:p>
    <w:p w14:paraId="791B92E9" w14:textId="77777777" w:rsidR="006400F8" w:rsidRDefault="00000000">
      <w:r>
        <w:t>IPFS, however, introduces its own economic issue: document anchoring on-chain is typically paid once, while persistent storage on replicated nodes requires ongoing incentives. In many architectures this creates a mismatch between one-time blockchain settlement and recurring storage costs, often combined with the inconvenience of separate payment rails - one blockchain-native and one fiat-based.</w:t>
      </w:r>
    </w:p>
    <w:p w14:paraId="31DFE94F" w14:textId="77777777" w:rsidR="006400F8" w:rsidRDefault="00000000">
      <w:r>
        <w:t>A decentralized oracle can solve this elegantly. On user request, multiple oracle nodes retrieve the document, pin it on their own IPFS infrastructure, and receive one-time remuneration through the same IOTA transaction that activates the task. A payment gateway can further simplify the user experience by accepting fiat and creating the underlying blockchain transaction on the user's behalf.</w:t>
      </w:r>
    </w:p>
    <w:p w14:paraId="76064E7E" w14:textId="77777777" w:rsidR="006400F8" w:rsidRDefault="00000000">
      <w:r>
        <w:t>This architecture enables a genuinely decentralized notarization service for documents of virtually any size, with redundancy and immutability guarantees aligned to the retention period purchased by the customer. The retention window can later be extended through a new transaction referencing the same IPFS content identifier. In adoption terms, this can materially reduce the operating and security costs of long-term preservation, substitute archiving, and digital notarization services - including sensitive content when encrypted before distribution.</w:t>
      </w:r>
    </w:p>
    <w:p w14:paraId="6AFE2CF6" w14:textId="77777777" w:rsidR="006400F8" w:rsidRDefault="00000000">
      <w:pPr>
        <w:pStyle w:val="Titolo2"/>
      </w:pPr>
      <w:r>
        <w:t>Artificial intelligence integration</w:t>
      </w:r>
    </w:p>
    <w:p w14:paraId="340FB681" w14:textId="77777777" w:rsidR="006400F8" w:rsidRDefault="00000000">
      <w:r>
        <w:t>There is little need to restate the strategic importance of AI in the current software market. Across industries, applications are being redesigned to embed AI wherever it can improve user productivity, reduce manual processing, and enable higher-value decision support.</w:t>
      </w:r>
    </w:p>
    <w:p w14:paraId="59D9444F" w14:textId="77777777" w:rsidR="006400F8" w:rsidRDefault="00000000">
      <w:r>
        <w:t>In this environment, the isolation of smart contracts becomes a practical limitation. Smart contracts are deterministic and intentionally constrained, but these same properties prevent them from directly leveraging modern AI platforms for semantic extraction, classification, validation, and interpretation.</w:t>
      </w:r>
    </w:p>
    <w:p w14:paraId="7F1E758B" w14:textId="77777777" w:rsidR="006400F8" w:rsidRDefault="00000000">
      <w:r>
        <w:t>A more effective operating model is therefore the following: AI processes a complex input off-chain; the smart contract anchors the derived result on-chain; and the application then uses that certified result as an input for business logic and automation.</w:t>
      </w:r>
    </w:p>
    <w:p w14:paraId="4E905672" w14:textId="77777777" w:rsidR="006400F8" w:rsidRDefault="00000000">
      <w:r>
        <w:t>Typical examples include:</w:t>
      </w:r>
    </w:p>
    <w:p w14:paraId="1251447C" w14:textId="77777777" w:rsidR="006400F8" w:rsidRDefault="00000000">
      <w:pPr>
        <w:pStyle w:val="Puntoelenco"/>
      </w:pPr>
      <w:r>
        <w:lastRenderedPageBreak/>
        <w:t>Semantic extraction of structured information from complex documents or other unstructured objects</w:t>
      </w:r>
    </w:p>
    <w:p w14:paraId="52BD0031" w14:textId="77777777" w:rsidR="006400F8" w:rsidRDefault="00000000">
      <w:pPr>
        <w:pStyle w:val="Puntoelenco"/>
      </w:pPr>
      <w:r>
        <w:t>Classification of documents or records into defined business categories</w:t>
      </w:r>
    </w:p>
    <w:p w14:paraId="37BD4C04" w14:textId="77777777" w:rsidR="006400F8" w:rsidRDefault="00000000">
      <w:pPr>
        <w:pStyle w:val="Puntoelenco"/>
      </w:pPr>
      <w:r>
        <w:t>Validation of information submitted by a user</w:t>
      </w:r>
    </w:p>
    <w:p w14:paraId="741A04B9" w14:textId="77777777" w:rsidR="006400F8" w:rsidRDefault="00000000">
      <w:pPr>
        <w:pStyle w:val="Puntoelenco"/>
      </w:pPr>
      <w:r>
        <w:t>Validation of credentials, attestations, or supporting evidence</w:t>
      </w:r>
    </w:p>
    <w:p w14:paraId="25343428" w14:textId="77777777" w:rsidR="006400F8" w:rsidRDefault="00000000">
      <w:r>
        <w:t>The logical extension is to equip decentralized oracle nodes with connectors to AI platforms. In that model, derived information is not produced by a single opaque actor, but by multiple independent nodes that can validate the same inference pipeline and anchor the certified result on-chain.</w:t>
      </w:r>
    </w:p>
    <w:p w14:paraId="42C89A9A" w14:textId="77777777" w:rsidR="00A204CD" w:rsidRDefault="00A204CD">
      <w:pPr>
        <w:pStyle w:val="Titolo1"/>
      </w:pPr>
    </w:p>
    <w:p w14:paraId="5EC19B40" w14:textId="1347C120" w:rsidR="006400F8" w:rsidRDefault="005412E2">
      <w:pPr>
        <w:pStyle w:val="Titolo1"/>
      </w:pPr>
      <w:r>
        <w:t>Historical effects on the Ethereum ecosystem arising from oracles active on the Ethereum network</w:t>
      </w:r>
    </w:p>
    <w:p w14:paraId="446DD358" w14:textId="77777777" w:rsidR="006400F8" w:rsidRDefault="00000000">
      <w:r>
        <w:t>Chainlink offers a useful benchmark for understanding how a successful oracle network can affect Ethereum economically. The impact is not limited to data delivery. It extends to token demand, cryptoeconomic security, DeFi execution flows, and additional blockspace consumption generated by applications that react to oracle updates.</w:t>
      </w:r>
    </w:p>
    <w:p w14:paraId="4451C2CA" w14:textId="77777777" w:rsidR="006400F8" w:rsidRDefault="00000000">
      <w:r>
        <w:t>As of 16 March 2026, LINK on Ethereum had about 858,249 holders, approximately 10.46 million recorded token transfers, and a circulating market capitalization of about USD 6.95 billion on Etherscan. Chainlink Staking v0.2 was launched with a 45 million LINK cap, and DefiLlama reported about USD 421 million of staked LINK. These figures matter because they show that oracle adoption can support a token economy through utility, payment flows, and security commitments, not only through speculation.</w:t>
      </w:r>
    </w:p>
    <w:p w14:paraId="0FAAA7D6" w14:textId="77777777" w:rsidR="006400F8" w:rsidRDefault="00000000">
      <w:r>
        <w:t>Ethereum is also the main economic center of gravity for Chainlink. Chainlink metrics reported more than USD 60 billion in total value secured network-wide in March 2026, while DefiLlama continued to show Ethereum as the largest chain in Chainlink-secured value. In parallel, Chainlink's payment abstraction model converts service fees into LINK, and the Chainlink Reserve accumulates LINK from enterprise and application revenue. In economic terms, a larger oracle network can therefore reinforce token demand by combining service usage, staking, and reserve accumulation.</w:t>
      </w:r>
    </w:p>
    <w:p w14:paraId="20F5782A" w14:textId="77777777" w:rsidR="006400F8" w:rsidRDefault="00000000">
      <w:r>
        <w:t>The effect on Ethereum transactions is even more visible at application level. An oracle update does not usually end with the publication of a single value. On Ethereum it can trigger liquidations, arbitrage, collateral rebalancing, treasury moves, settlement logic, and automated strategy execution across multiple protocols. Chainlink's Smart Value Recapture on Aave recaptured more than USD 1.6 million of liquidation MEV in Q3 2025 with an average recapture rate of about 80 percent. This is concrete evidence that oracle-triggered state changes can create measurable economic flows far beyond the oracle update transaction itself.</w:t>
      </w:r>
    </w:p>
    <w:p w14:paraId="040F9850" w14:textId="77777777" w:rsidR="006400F8" w:rsidRDefault="00000000">
      <w:r>
        <w:t>Chainlink therefore demonstrates a key point for our project: a mature oracle can become a growth engine for both token economics and onchain activity. More oracle usage means more paid services, more tokens committed to security, more dependent application logic, and more transactions induced downstream on Ethereum.</w:t>
      </w:r>
    </w:p>
    <w:p w14:paraId="6552D940" w14:textId="5A784E01" w:rsidR="006400F8" w:rsidRDefault="00000000">
      <w:pPr>
        <w:pStyle w:val="Titolo2"/>
      </w:pPr>
      <w:r>
        <w:lastRenderedPageBreak/>
        <w:t xml:space="preserve">Strategic comparison with </w:t>
      </w:r>
      <w:r w:rsidR="005412E2">
        <w:t>ObjectID (IOTA) O</w:t>
      </w:r>
      <w:r>
        <w:t>racle model</w:t>
      </w:r>
    </w:p>
    <w:p w14:paraId="36656230" w14:textId="77777777" w:rsidR="006400F8" w:rsidRDefault="00000000">
      <w:r>
        <w:t>Our oracle model is broader in task semantics. Chainlink already supports decentralized offchain computation and, through Functions and CRE workflows, can connect to external APIs, decentralized databases such as IPFS, and AI services, including LLM-based workflows. However, these capabilities are general-purpose building blocks. They do not by themselves define a native document-retention service with time-bound decentralized storage obligations or a first-class document-processing workflow designed around acquisition, pinning, retention, and consensus.</w:t>
      </w:r>
    </w:p>
    <w:p w14:paraId="6A74A187" w14:textId="77777777" w:rsidR="006400F8" w:rsidRDefault="00000000">
      <w:pPr>
        <w:pStyle w:val="Puntoelenco"/>
      </w:pPr>
      <w:r>
        <w:t>Native decentralized document storage with retention commitments: the oracle task can require multiple nodes to acquire, pin, and retain the same document for a defined period, with onchain anchoring of the result.</w:t>
      </w:r>
    </w:p>
    <w:p w14:paraId="1765ACEF" w14:textId="77777777" w:rsidR="006400F8" w:rsidRDefault="00000000">
      <w:pPr>
        <w:pStyle w:val="Puntoelenco"/>
      </w:pPr>
      <w:r>
        <w:t>Native LLM document workflows: the oracle can treat extraction, classification, and risk scoring of complex documents as explicit task types rather than as ad hoc external code connected to a generic compute service.</w:t>
      </w:r>
    </w:p>
    <w:p w14:paraId="32A80E17" w14:textId="77777777" w:rsidR="006400F8" w:rsidRDefault="00000000">
      <w:pPr>
        <w:pStyle w:val="Puntoelenco"/>
      </w:pPr>
      <w:r>
        <w:t>Economic coupling between storage, AI, and consensus: a single task can include retrieval, verification, storage, and AI-derived output, so the value captured by the oracle is tied to a richer service bundle than price-feed publication alone.</w:t>
      </w:r>
    </w:p>
    <w:p w14:paraId="743143D8" w14:textId="77777777" w:rsidR="006400F8" w:rsidRDefault="00000000">
      <w:r>
        <w:t>In practical terms, the comparison is not that Chainlink is missing AI or unable to reach decentralized storage. The more precise distinction is architectural. Chainlink is optimized as a broad oracle and interoperability standard for many chains and many data categories. Our oracle can differentiate itself by making decentralized storage and AI-based document handling first-class protocol features, with economic logic and task lifecycle rules designed specifically for those workloads. This creates room for a different market position: not only data feeds for DeFi, but also trusted execution for document-heavy, compliance-sensitive, and evidence-preserving applications.</w:t>
      </w:r>
    </w:p>
    <w:p w14:paraId="7B91611E" w14:textId="77777777" w:rsidR="00A204CD" w:rsidRDefault="00A204CD">
      <w:pPr>
        <w:pStyle w:val="Titolo1"/>
      </w:pPr>
    </w:p>
    <w:p w14:paraId="2104BE37" w14:textId="32BC4435" w:rsidR="006400F8" w:rsidRDefault="00000000">
      <w:pPr>
        <w:pStyle w:val="Titolo1"/>
      </w:pPr>
      <w:r>
        <w:t>Rational hypotheses on the number of transactions triggered by oracle usage</w:t>
      </w:r>
    </w:p>
    <w:p w14:paraId="4E020A7D" w14:textId="77777777" w:rsidR="006400F8" w:rsidRDefault="00000000">
      <w:r>
        <w:t>Any estimate of oracle-related transaction volume must start from an explicit operating model. The hypotheses below refer to a decentralized oracle workflow in which a task is created on-chain, assigned to multiple nodes, processed through commit and reveal phases, and then finalized when the required quorum is met. The formulas use n to indicate the number of assigned oracle nodes.</w:t>
      </w:r>
    </w:p>
    <w:p w14:paraId="3F593454" w14:textId="77777777" w:rsidR="006400F8" w:rsidRDefault="00000000">
      <w:r>
        <w:t>These figures should be read as planning assumptions, not deterministic promises. Real transaction counts depend on the exact oracle design, whether aggregation is performed fully off-chain or partially on-chain, whether raw data publication is requested after a mismatch, and whether a mediation round is activated.</w:t>
      </w:r>
    </w:p>
    <w:p w14:paraId="5C3948F7" w14:textId="77777777" w:rsidR="006400F8" w:rsidRDefault="00000000">
      <w:pPr>
        <w:pStyle w:val="Puntoelenco"/>
      </w:pPr>
      <w:r>
        <w:t>One transaction creates the task and funds it.</w:t>
      </w:r>
    </w:p>
    <w:p w14:paraId="1CB10C64" w14:textId="77777777" w:rsidR="006400F8" w:rsidRDefault="00000000">
      <w:pPr>
        <w:pStyle w:val="Puntoelenco"/>
      </w:pPr>
      <w:r>
        <w:t>Each assigned node publishes one commit signature.</w:t>
      </w:r>
    </w:p>
    <w:p w14:paraId="4F3517F1" w14:textId="77777777" w:rsidR="006400F8" w:rsidRDefault="00000000">
      <w:pPr>
        <w:pStyle w:val="Puntoelenco"/>
      </w:pPr>
      <w:r>
        <w:t>Each assigned node publishes one reveal hash.</w:t>
      </w:r>
    </w:p>
    <w:p w14:paraId="42E45A8F" w14:textId="77777777" w:rsidR="006400F8" w:rsidRDefault="00000000">
      <w:pPr>
        <w:pStyle w:val="Puntoelenco"/>
      </w:pPr>
      <w:r>
        <w:t>Each assigned node publishes one node-level commitment for the final result.</w:t>
      </w:r>
    </w:p>
    <w:p w14:paraId="4D72E9E7" w14:textId="77777777" w:rsidR="006400F8" w:rsidRDefault="00000000">
      <w:pPr>
        <w:pStyle w:val="Puntoelenco"/>
      </w:pPr>
      <w:r>
        <w:t>One transaction finalizes the task if quorum is reached.</w:t>
      </w:r>
    </w:p>
    <w:p w14:paraId="4C842779" w14:textId="77777777" w:rsidR="006400F8" w:rsidRDefault="00000000">
      <w:pPr>
        <w:pStyle w:val="Puntoelenco"/>
      </w:pPr>
      <w:r>
        <w:lastRenderedPageBreak/>
        <w:t>Optional phases such as partial signature publication, raw data disclosure, and mediation add further transactions.</w:t>
      </w:r>
    </w:p>
    <w:p w14:paraId="04EB1DA9" w14:textId="77777777" w:rsidR="006400F8" w:rsidRDefault="00000000">
      <w:pPr>
        <w:pStyle w:val="Titolo2"/>
      </w:pPr>
      <w:r>
        <w:t>Indicative transaction counts by scenario</w:t>
      </w:r>
    </w:p>
    <w:tbl>
      <w:tblPr>
        <w:tblStyle w:val="Grigliatabella"/>
        <w:tblW w:w="0" w:type="auto"/>
        <w:tblLayout w:type="fixed"/>
        <w:tblLook w:val="04A0" w:firstRow="1" w:lastRow="0" w:firstColumn="1" w:lastColumn="0" w:noHBand="0" w:noVBand="1"/>
      </w:tblPr>
      <w:tblGrid>
        <w:gridCol w:w="2952"/>
        <w:gridCol w:w="1512"/>
        <w:gridCol w:w="1944"/>
        <w:gridCol w:w="3240"/>
      </w:tblGrid>
      <w:tr w:rsidR="006400F8" w14:paraId="4578CD47" w14:textId="77777777">
        <w:tc>
          <w:tcPr>
            <w:tcW w:w="2952" w:type="dxa"/>
            <w:shd w:val="clear" w:color="auto" w:fill="D9EAF7"/>
          </w:tcPr>
          <w:p w14:paraId="4ADD818F" w14:textId="77777777" w:rsidR="006400F8" w:rsidRDefault="00000000">
            <w:pPr>
              <w:spacing w:after="20"/>
            </w:pPr>
            <w:r>
              <w:rPr>
                <w:sz w:val="18"/>
              </w:rPr>
              <w:t>Scenario</w:t>
            </w:r>
          </w:p>
        </w:tc>
        <w:tc>
          <w:tcPr>
            <w:tcW w:w="1512" w:type="dxa"/>
            <w:shd w:val="clear" w:color="auto" w:fill="D9EAF7"/>
          </w:tcPr>
          <w:p w14:paraId="2EC02863" w14:textId="77777777" w:rsidR="006400F8" w:rsidRDefault="00000000">
            <w:pPr>
              <w:spacing w:after="20"/>
            </w:pPr>
            <w:r>
              <w:rPr>
                <w:sz w:val="18"/>
              </w:rPr>
              <w:t>Formula</w:t>
            </w:r>
          </w:p>
        </w:tc>
        <w:tc>
          <w:tcPr>
            <w:tcW w:w="1944" w:type="dxa"/>
            <w:shd w:val="clear" w:color="auto" w:fill="D9EAF7"/>
          </w:tcPr>
          <w:p w14:paraId="1CDA24D9" w14:textId="77777777" w:rsidR="006400F8" w:rsidRDefault="00000000">
            <w:pPr>
              <w:spacing w:after="20"/>
            </w:pPr>
            <w:r>
              <w:rPr>
                <w:sz w:val="18"/>
              </w:rPr>
              <w:t>3-node example</w:t>
            </w:r>
          </w:p>
        </w:tc>
        <w:tc>
          <w:tcPr>
            <w:tcW w:w="3240" w:type="dxa"/>
            <w:shd w:val="clear" w:color="auto" w:fill="D9EAF7"/>
          </w:tcPr>
          <w:p w14:paraId="77C46C39" w14:textId="77777777" w:rsidR="006400F8" w:rsidRDefault="00000000">
            <w:pPr>
              <w:spacing w:after="20"/>
            </w:pPr>
            <w:r>
              <w:rPr>
                <w:sz w:val="18"/>
              </w:rPr>
              <w:t>Notes</w:t>
            </w:r>
          </w:p>
        </w:tc>
      </w:tr>
      <w:tr w:rsidR="006400F8" w14:paraId="45916DC3" w14:textId="77777777">
        <w:tc>
          <w:tcPr>
            <w:tcW w:w="2952" w:type="dxa"/>
          </w:tcPr>
          <w:p w14:paraId="4667FF53" w14:textId="77777777" w:rsidR="006400F8" w:rsidRDefault="00000000">
            <w:pPr>
              <w:spacing w:after="20"/>
            </w:pPr>
            <w:r>
              <w:rPr>
                <w:sz w:val="18"/>
              </w:rPr>
              <w:t>Standard successful task</w:t>
            </w:r>
          </w:p>
        </w:tc>
        <w:tc>
          <w:tcPr>
            <w:tcW w:w="1512" w:type="dxa"/>
          </w:tcPr>
          <w:p w14:paraId="1EBAE786" w14:textId="77777777" w:rsidR="006400F8" w:rsidRDefault="00000000">
            <w:pPr>
              <w:spacing w:after="20"/>
            </w:pPr>
            <w:r>
              <w:rPr>
                <w:sz w:val="18"/>
              </w:rPr>
              <w:t>2 + 3n</w:t>
            </w:r>
          </w:p>
        </w:tc>
        <w:tc>
          <w:tcPr>
            <w:tcW w:w="1944" w:type="dxa"/>
          </w:tcPr>
          <w:p w14:paraId="0350C764" w14:textId="77777777" w:rsidR="006400F8" w:rsidRDefault="00000000">
            <w:pPr>
              <w:spacing w:after="20"/>
            </w:pPr>
            <w:r>
              <w:rPr>
                <w:sz w:val="18"/>
              </w:rPr>
              <w:t>11 tx</w:t>
            </w:r>
          </w:p>
        </w:tc>
        <w:tc>
          <w:tcPr>
            <w:tcW w:w="3240" w:type="dxa"/>
          </w:tcPr>
          <w:p w14:paraId="4CFDF449" w14:textId="77777777" w:rsidR="006400F8" w:rsidRDefault="00000000">
            <w:pPr>
              <w:spacing w:after="20"/>
            </w:pPr>
            <w:r>
              <w:rPr>
                <w:sz w:val="18"/>
              </w:rPr>
              <w:t>task + commits + reveals + node commits + finalize</w:t>
            </w:r>
          </w:p>
        </w:tc>
      </w:tr>
      <w:tr w:rsidR="006400F8" w14:paraId="2042DF35" w14:textId="77777777">
        <w:tc>
          <w:tcPr>
            <w:tcW w:w="2952" w:type="dxa"/>
          </w:tcPr>
          <w:p w14:paraId="772CA921" w14:textId="77777777" w:rsidR="006400F8" w:rsidRDefault="00000000">
            <w:pPr>
              <w:spacing w:after="20"/>
            </w:pPr>
            <w:r>
              <w:rPr>
                <w:sz w:val="18"/>
              </w:rPr>
              <w:t>Successful task with optional on-chain partial signatures</w:t>
            </w:r>
          </w:p>
        </w:tc>
        <w:tc>
          <w:tcPr>
            <w:tcW w:w="1512" w:type="dxa"/>
          </w:tcPr>
          <w:p w14:paraId="07614849" w14:textId="77777777" w:rsidR="006400F8" w:rsidRDefault="00000000">
            <w:pPr>
              <w:spacing w:after="20"/>
            </w:pPr>
            <w:r>
              <w:rPr>
                <w:sz w:val="18"/>
              </w:rPr>
              <w:t>2 + 4n</w:t>
            </w:r>
          </w:p>
        </w:tc>
        <w:tc>
          <w:tcPr>
            <w:tcW w:w="1944" w:type="dxa"/>
          </w:tcPr>
          <w:p w14:paraId="3A1EBE36" w14:textId="77777777" w:rsidR="006400F8" w:rsidRDefault="00000000">
            <w:pPr>
              <w:spacing w:after="20"/>
            </w:pPr>
            <w:r>
              <w:rPr>
                <w:sz w:val="18"/>
              </w:rPr>
              <w:t>14 tx</w:t>
            </w:r>
          </w:p>
        </w:tc>
        <w:tc>
          <w:tcPr>
            <w:tcW w:w="3240" w:type="dxa"/>
          </w:tcPr>
          <w:p w14:paraId="4873DF1B" w14:textId="77777777" w:rsidR="006400F8" w:rsidRDefault="00000000">
            <w:pPr>
              <w:spacing w:after="20"/>
            </w:pPr>
            <w:r>
              <w:rPr>
                <w:sz w:val="18"/>
              </w:rPr>
              <w:t>adds one partial-signature tx per node</w:t>
            </w:r>
          </w:p>
        </w:tc>
      </w:tr>
      <w:tr w:rsidR="006400F8" w14:paraId="02A6507A" w14:textId="77777777">
        <w:tc>
          <w:tcPr>
            <w:tcW w:w="2952" w:type="dxa"/>
          </w:tcPr>
          <w:p w14:paraId="4079CA46" w14:textId="77777777" w:rsidR="006400F8" w:rsidRDefault="00000000">
            <w:pPr>
              <w:spacing w:after="20"/>
            </w:pPr>
            <w:r>
              <w:rPr>
                <w:sz w:val="18"/>
              </w:rPr>
              <w:t>Raw data publication after reveal mismatch or expiry</w:t>
            </w:r>
          </w:p>
        </w:tc>
        <w:tc>
          <w:tcPr>
            <w:tcW w:w="1512" w:type="dxa"/>
          </w:tcPr>
          <w:p w14:paraId="1B51A6FD" w14:textId="77777777" w:rsidR="006400F8" w:rsidRDefault="00000000">
            <w:pPr>
              <w:spacing w:after="20"/>
            </w:pPr>
            <w:r>
              <w:rPr>
                <w:sz w:val="18"/>
              </w:rPr>
              <w:t>3 + 3n</w:t>
            </w:r>
          </w:p>
        </w:tc>
        <w:tc>
          <w:tcPr>
            <w:tcW w:w="1944" w:type="dxa"/>
          </w:tcPr>
          <w:p w14:paraId="267FFD4C" w14:textId="77777777" w:rsidR="006400F8" w:rsidRDefault="00000000">
            <w:pPr>
              <w:spacing w:after="20"/>
            </w:pPr>
            <w:r>
              <w:rPr>
                <w:sz w:val="18"/>
              </w:rPr>
              <w:t>12 tx</w:t>
            </w:r>
          </w:p>
        </w:tc>
        <w:tc>
          <w:tcPr>
            <w:tcW w:w="3240" w:type="dxa"/>
          </w:tcPr>
          <w:p w14:paraId="172507BB" w14:textId="77777777" w:rsidR="006400F8" w:rsidRDefault="00000000">
            <w:pPr>
              <w:spacing w:after="20"/>
            </w:pPr>
            <w:r>
              <w:rPr>
                <w:sz w:val="18"/>
              </w:rPr>
              <w:t>commit/reveal + data request + node data + close</w:t>
            </w:r>
          </w:p>
        </w:tc>
      </w:tr>
      <w:tr w:rsidR="006400F8" w14:paraId="5AA57695" w14:textId="77777777">
        <w:tc>
          <w:tcPr>
            <w:tcW w:w="2952" w:type="dxa"/>
          </w:tcPr>
          <w:p w14:paraId="416A0CFF" w14:textId="77777777" w:rsidR="006400F8" w:rsidRDefault="00000000">
            <w:pPr>
              <w:spacing w:after="20"/>
            </w:pPr>
            <w:r>
              <w:rPr>
                <w:sz w:val="18"/>
              </w:rPr>
              <w:t>Raw data publication after node commitments were already posted</w:t>
            </w:r>
          </w:p>
        </w:tc>
        <w:tc>
          <w:tcPr>
            <w:tcW w:w="1512" w:type="dxa"/>
          </w:tcPr>
          <w:p w14:paraId="1C8160B8" w14:textId="77777777" w:rsidR="006400F8" w:rsidRDefault="00000000">
            <w:pPr>
              <w:spacing w:after="20"/>
            </w:pPr>
            <w:r>
              <w:rPr>
                <w:sz w:val="18"/>
              </w:rPr>
              <w:t>3 + 4n</w:t>
            </w:r>
          </w:p>
        </w:tc>
        <w:tc>
          <w:tcPr>
            <w:tcW w:w="1944" w:type="dxa"/>
          </w:tcPr>
          <w:p w14:paraId="2A68214D" w14:textId="77777777" w:rsidR="006400F8" w:rsidRDefault="00000000">
            <w:pPr>
              <w:spacing w:after="20"/>
            </w:pPr>
            <w:r>
              <w:rPr>
                <w:sz w:val="18"/>
              </w:rPr>
              <w:t>15 tx</w:t>
            </w:r>
          </w:p>
        </w:tc>
        <w:tc>
          <w:tcPr>
            <w:tcW w:w="3240" w:type="dxa"/>
          </w:tcPr>
          <w:p w14:paraId="77D2521F" w14:textId="77777777" w:rsidR="006400F8" w:rsidRDefault="00000000">
            <w:pPr>
              <w:spacing w:after="20"/>
            </w:pPr>
            <w:r>
              <w:rPr>
                <w:sz w:val="18"/>
              </w:rPr>
              <w:t>same as above, but node commits already exist</w:t>
            </w:r>
          </w:p>
        </w:tc>
      </w:tr>
      <w:tr w:rsidR="006400F8" w14:paraId="2B760D06" w14:textId="77777777">
        <w:tc>
          <w:tcPr>
            <w:tcW w:w="2952" w:type="dxa"/>
          </w:tcPr>
          <w:p w14:paraId="18C30DC5" w14:textId="77777777" w:rsidR="006400F8" w:rsidRDefault="00000000">
            <w:pPr>
              <w:spacing w:after="20"/>
            </w:pPr>
            <w:r>
              <w:rPr>
                <w:sz w:val="18"/>
              </w:rPr>
              <w:t>Incremental cost of one mediation round after a failed round</w:t>
            </w:r>
          </w:p>
        </w:tc>
        <w:tc>
          <w:tcPr>
            <w:tcW w:w="1512" w:type="dxa"/>
          </w:tcPr>
          <w:p w14:paraId="0DF3F7AA" w14:textId="77777777" w:rsidR="006400F8" w:rsidRDefault="00000000">
            <w:pPr>
              <w:spacing w:after="20"/>
            </w:pPr>
            <w:r>
              <w:rPr>
                <w:sz w:val="18"/>
              </w:rPr>
              <w:t>2 + 3n additional</w:t>
            </w:r>
          </w:p>
        </w:tc>
        <w:tc>
          <w:tcPr>
            <w:tcW w:w="1944" w:type="dxa"/>
          </w:tcPr>
          <w:p w14:paraId="6370F7F7" w14:textId="77777777" w:rsidR="006400F8" w:rsidRDefault="00000000">
            <w:pPr>
              <w:spacing w:after="20"/>
            </w:pPr>
            <w:r>
              <w:rPr>
                <w:sz w:val="18"/>
              </w:rPr>
              <w:t>11 extra tx</w:t>
            </w:r>
          </w:p>
        </w:tc>
        <w:tc>
          <w:tcPr>
            <w:tcW w:w="3240" w:type="dxa"/>
          </w:tcPr>
          <w:p w14:paraId="7FE5BC4F" w14:textId="77777777" w:rsidR="006400F8" w:rsidRDefault="00000000">
            <w:pPr>
              <w:spacing w:after="20"/>
            </w:pPr>
            <w:r>
              <w:rPr>
                <w:sz w:val="18"/>
              </w:rPr>
              <w:t>start mediation + second round to finality</w:t>
            </w:r>
          </w:p>
        </w:tc>
      </w:tr>
    </w:tbl>
    <w:p w14:paraId="6ADE6F6D" w14:textId="77777777" w:rsidR="006400F8" w:rsidRDefault="006400F8"/>
    <w:p w14:paraId="7265970A" w14:textId="77777777" w:rsidR="006400F8" w:rsidRDefault="00000000">
      <w:pPr>
        <w:pStyle w:val="Titolo2"/>
      </w:pPr>
      <w:r>
        <w:t>Illustrative planning scenarios</w:t>
      </w:r>
    </w:p>
    <w:p w14:paraId="3E6050F2" w14:textId="77777777" w:rsidR="006400F8" w:rsidRDefault="00000000">
      <w:r>
        <w:t>For a 3-node oracle network, the baseline successful path is approximately 11 on-chain transactions per completed task. In practice, this makes 11 to 13 transactions per task a reasonable planning range when a limited fraction of tasks require disclosure of raw data or a single mediation round.</w:t>
      </w:r>
    </w:p>
    <w:p w14:paraId="100E2690" w14:textId="77777777" w:rsidR="006400F8" w:rsidRDefault="00000000">
      <w:r>
        <w:t>Using that range, a network processing 10,000 completed tasks per month would likely generate roughly 110,000 to 130,000 on-chain transactions. At 100,000 completed tasks per month, the same architecture would plausibly generate around 1.1 to 1.3 million on-chain transactions.</w:t>
      </w:r>
    </w:p>
    <w:p w14:paraId="09EA2334" w14:textId="77777777" w:rsidR="006400F8" w:rsidRDefault="00000000">
      <w:r>
        <w:t>The economic implication is straightforward. If oracle tasks are high-value and relatively infrequent, Ethereum mainnet can support them directly. If tasks are frequent, low-margin, or latency-sensitive, the transaction overhead becomes a strong argument for off-chain aggregation, pull-based updates, or deployment on layer-2 networks with periodic anchoring to a more secure base layer.</w:t>
      </w:r>
    </w:p>
    <w:p w14:paraId="765540E7" w14:textId="77777777" w:rsidR="006400F8" w:rsidRDefault="00000000">
      <w:r>
        <w:t>A useful strategic observation is that quorum does not automatically mean low transaction count. In many decentralized oracle designs, multiple nodes still publish phase-specific evidence even when only k out of n signatures are required for acceptance. As a result, the consensus threshold improves safety, but it does not necessarily reduce blockspace consumption unless the protocol is explicitly optimized for that objective.</w:t>
      </w:r>
    </w:p>
    <w:p w14:paraId="3FA7D4E8" w14:textId="77777777" w:rsidR="006400F8" w:rsidRDefault="00000000">
      <w:pPr>
        <w:pStyle w:val="Titolo1"/>
      </w:pPr>
      <w:r>
        <w:t>Conclusion</w:t>
      </w:r>
    </w:p>
    <w:p w14:paraId="249F8CD8" w14:textId="77777777" w:rsidR="006400F8" w:rsidRDefault="00000000">
      <w:r>
        <w:t>A decentralized oracle should be understood not merely as a connector between a blockchain and the outside world, but as a trust-distribution layer for data, documents, and derived intelligence. Its value is highest in workflows where the cost of error, fraud, or evidentiary weakness is greater than the cost of executing the oracle process itself.</w:t>
      </w:r>
    </w:p>
    <w:p w14:paraId="17EAF5AA" w14:textId="77777777" w:rsidR="006400F8" w:rsidRDefault="00000000">
      <w:r>
        <w:t>Within that framework, the combination of trusted data acquisition, decentralized storage, and AI-assisted processing forms a coherent architecture for enterprise-grade blockchain adoption. At the same time, the Ethereum ecosystem demonstrates that widespread oracle activity has direct implications for blockspace demand, fee formation, MEV, and infrastructure design. Any serious oracle project should therefore evaluate not only correctness and security, but also transaction economics and scalability from the outset.</w:t>
      </w:r>
    </w:p>
    <w:sectPr w:rsidR="006400F8"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17254866">
    <w:abstractNumId w:val="8"/>
  </w:num>
  <w:num w:numId="2" w16cid:durableId="1947469143">
    <w:abstractNumId w:val="6"/>
  </w:num>
  <w:num w:numId="3" w16cid:durableId="672952627">
    <w:abstractNumId w:val="5"/>
  </w:num>
  <w:num w:numId="4" w16cid:durableId="311955260">
    <w:abstractNumId w:val="4"/>
  </w:num>
  <w:num w:numId="5" w16cid:durableId="1057901589">
    <w:abstractNumId w:val="7"/>
  </w:num>
  <w:num w:numId="6" w16cid:durableId="615259196">
    <w:abstractNumId w:val="3"/>
  </w:num>
  <w:num w:numId="7" w16cid:durableId="829175618">
    <w:abstractNumId w:val="2"/>
  </w:num>
  <w:num w:numId="8" w16cid:durableId="1849516974">
    <w:abstractNumId w:val="1"/>
  </w:num>
  <w:num w:numId="9" w16cid:durableId="166292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169B"/>
    <w:rsid w:val="005412E2"/>
    <w:rsid w:val="005D2EA2"/>
    <w:rsid w:val="006400F8"/>
    <w:rsid w:val="00746D34"/>
    <w:rsid w:val="00767A6B"/>
    <w:rsid w:val="00A14EAA"/>
    <w:rsid w:val="00A204CD"/>
    <w:rsid w:val="00AA1D8D"/>
    <w:rsid w:val="00B47730"/>
    <w:rsid w:val="00C14254"/>
    <w:rsid w:val="00C84410"/>
    <w:rsid w:val="00CB0664"/>
    <w:rsid w:val="00CB33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D39646"/>
  <w14:defaultImageDpi w14:val="300"/>
  <w15:docId w15:val="{255EA72E-3377-4D89-81CA-47A48B630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pPr>
    <w:rPr>
      <w:rFonts w:ascii="Calibri" w:hAnsi="Calibri"/>
    </w:rPr>
  </w:style>
  <w:style w:type="paragraph" w:styleId="Titolo1">
    <w:name w:val="heading 1"/>
    <w:basedOn w:val="Normale"/>
    <w:next w:val="Normale"/>
    <w:link w:val="Titolo1Carattere"/>
    <w:uiPriority w:val="9"/>
    <w:qFormat/>
    <w:rsid w:val="00FC693F"/>
    <w:pPr>
      <w:keepNext/>
      <w:keepLines/>
      <w:spacing w:before="280"/>
      <w:outlineLvl w:val="0"/>
    </w:pPr>
    <w:rPr>
      <w:rFonts w:asciiTheme="majorHAnsi" w:eastAsiaTheme="majorEastAsia" w:hAnsiTheme="majorHAnsi" w:cstheme="majorBidi"/>
      <w:b/>
      <w:bCs/>
      <w:color w:val="1F4E79"/>
      <w:sz w:val="32"/>
      <w:szCs w:val="28"/>
    </w:rPr>
  </w:style>
  <w:style w:type="paragraph" w:styleId="Titolo2">
    <w:name w:val="heading 2"/>
    <w:basedOn w:val="Normale"/>
    <w:next w:val="Normale"/>
    <w:link w:val="Titolo2Carattere"/>
    <w:uiPriority w:val="9"/>
    <w:unhideWhenUsed/>
    <w:qFormat/>
    <w:rsid w:val="00FC693F"/>
    <w:pPr>
      <w:keepNext/>
      <w:keepLines/>
      <w:spacing w:before="200" w:after="80"/>
      <w:outlineLvl w:val="1"/>
    </w:pPr>
    <w:rPr>
      <w:rFonts w:asciiTheme="majorHAnsi" w:eastAsiaTheme="majorEastAsia" w:hAnsiTheme="majorHAnsi" w:cstheme="majorBidi"/>
      <w:b/>
      <w:bCs/>
      <w:color w:val="2F5496"/>
      <w:sz w:val="25"/>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eWeb">
    <w:name w:val="Normal (Web)"/>
    <w:basedOn w:val="Normale"/>
    <w:uiPriority w:val="99"/>
    <w:semiHidden/>
    <w:unhideWhenUsed/>
    <w:rsid w:val="00C84410"/>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2775</Words>
  <Characters>15821</Characters>
  <Application>Microsoft Office Word</Application>
  <DocSecurity>0</DocSecurity>
  <Lines>131</Lines>
  <Paragraphs>37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Stefano Della Valle</cp:lastModifiedBy>
  <cp:revision>5</cp:revision>
  <dcterms:created xsi:type="dcterms:W3CDTF">2013-12-23T23:15:00Z</dcterms:created>
  <dcterms:modified xsi:type="dcterms:W3CDTF">2026-03-18T07:47:00Z</dcterms:modified>
  <cp:category/>
</cp:coreProperties>
</file>