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Quantum-Inspired Dynamic Decision-Making (QIDDM): A Superposition-Based Framework for Multi-Criteria Capacitated Supplier Selection</w:t>
      </w:r>
    </w:p>
    <w:p>
      <w:r>
        <w:rPr>
          <w:rFonts w:ascii="Times New Roman" w:hAnsi="Times New Roman"/>
          <w:b w:val="0"/>
          <w:i w:val="0"/>
          <w:sz w:val="22"/>
        </w:rPr>
      </w:r>
    </w:p>
    <w:p>
      <w:pPr>
        <w:jc w:val="center"/>
      </w:pPr>
      <w:r>
        <w:rPr>
          <w:rFonts w:ascii="Times New Roman" w:hAnsi="Times New Roman"/>
          <w:b w:val="0"/>
          <w:i w:val="0"/>
          <w:sz w:val="22"/>
        </w:rPr>
        <w:t>Author Name¹*, Co-Author Name²</w:t>
      </w:r>
    </w:p>
    <w:p>
      <w:pPr>
        <w:jc w:val="center"/>
      </w:pPr>
      <w:r>
        <w:rPr>
          <w:rFonts w:ascii="Times New Roman" w:hAnsi="Times New Roman"/>
          <w:b w:val="0"/>
          <w:i/>
          <w:sz w:val="20"/>
        </w:rPr>
        <w:t>¹ Affiliation, Department, University, Country</w:t>
      </w:r>
    </w:p>
    <w:p>
      <w:pPr>
        <w:jc w:val="center"/>
      </w:pPr>
      <w:r>
        <w:rPr>
          <w:rFonts w:ascii="Times New Roman" w:hAnsi="Times New Roman"/>
          <w:b w:val="0"/>
          <w:i/>
          <w:sz w:val="20"/>
        </w:rPr>
        <w:t>² Affiliation, Department, University, Country</w:t>
      </w:r>
    </w:p>
    <w:p>
      <w:pPr>
        <w:jc w:val="center"/>
      </w:pPr>
      <w:r>
        <w:rPr>
          <w:rFonts w:ascii="Times New Roman" w:hAnsi="Times New Roman"/>
          <w:b w:val="0"/>
          <w:i/>
          <w:sz w:val="20"/>
        </w:rPr>
        <w:t>* Corresponding author: email@institution.edu</w:t>
      </w:r>
    </w:p>
    <w:p>
      <w:r>
        <w:rPr>
          <w:rFonts w:ascii="Times New Roman" w:hAnsi="Times New Roman"/>
          <w:b w:val="0"/>
          <w:i w:val="0"/>
          <w:sz w:val="22"/>
        </w:rPr>
      </w:r>
    </w:p>
    <w:p>
      <w:pPr>
        <w:pStyle w:val="Heading1"/>
      </w:pPr>
      <w:r>
        <w:rPr>
          <w:rFonts w:ascii="Times New Roman" w:hAnsi="Times New Roman"/>
          <w:color w:val="000000"/>
        </w:rPr>
        <w:t>Abstract</w:t>
      </w:r>
    </w:p>
    <w:p>
      <w:pPr>
        <w:jc w:val="both"/>
      </w:pPr>
      <w:r>
        <w:rPr>
          <w:rFonts w:ascii="Times New Roman" w:hAnsi="Times New Roman"/>
          <w:b w:val="0"/>
          <w:i w:val="0"/>
          <w:sz w:val="22"/>
        </w:rPr>
        <w:t>Multi-criteria resource allocation in dynamic supply networks is a computationally hard problem in which classical decision-analysis methods and population-based metaheuristics suffer either from rigid linear aggregation or from premature convergence. This paper proposes Quantum-Inspired Dynamic Decision-Making (QIDDM), a hybrid framework that represents candidate decisions as a population of quantum bits in superposition, evolves them through a dynamic phase-rotation gate whose magnitude adapts to landscape feedback, and modulates rotations through a multi-criteria interference vector that biases search towards weak criteria of the current best. A criteria-guided local-search step intensifies the most promising regions, while a Q-NOT mutation operator preserves probabilistic diversity. The framework is evaluated on three benchmark instances of a Multi-Criteria Capacitated Supplier Selection Problem (MC-CSSP) of increasing scale (N = 20, 40, 80 candidates) augmented with non-linear synergy, risk and diversification terms, and compared against TOPSIS, AHP, a binary Genetic Algorithm and a discrete Particle Swarm Optimizer over twenty independent runs per stochastic method. QIDDM achieves the highest mean utility on the medium and large instances (0.6485 and 0.6792 versus 0.6403 and 0.6713 for the best baseline), the lowest variance (σ ≤ 0.002), and converges in fewer than half the iterations of GA and PSO. Mann–Whitney U tests confirm the improvements are statistically significant at p &lt; 0.001. The results support quantum-inspired dynamic decision-making as a competitive paradigm for high-dimensional, conflict-laden allocation problems.</w:t>
      </w:r>
    </w:p>
    <w:p>
      <w:pPr>
        <w:pStyle w:val="Heading1"/>
      </w:pPr>
      <w:r>
        <w:rPr>
          <w:rFonts w:ascii="Times New Roman" w:hAnsi="Times New Roman"/>
          <w:color w:val="000000"/>
        </w:rPr>
        <w:t>Keywords</w:t>
      </w:r>
    </w:p>
    <w:p>
      <w:r>
        <w:rPr>
          <w:rFonts w:ascii="Times New Roman" w:hAnsi="Times New Roman"/>
          <w:b w:val="0"/>
          <w:i w:val="0"/>
          <w:sz w:val="22"/>
        </w:rPr>
        <w:t>Quantum-inspired computing; dynamic decision-making; multi-criteria optimization; supplier selection; metaheuristics; superposition; phase rotation; resource allocation.</w:t>
      </w:r>
    </w:p>
    <w:p>
      <w:pPr>
        <w:pStyle w:val="Heading1"/>
      </w:pPr>
      <w:r>
        <w:rPr>
          <w:rFonts w:ascii="Times New Roman" w:hAnsi="Times New Roman"/>
          <w:color w:val="000000"/>
        </w:rPr>
        <w:t>1. Introduction</w:t>
      </w:r>
    </w:p>
    <w:p>
      <w:pPr>
        <w:jc w:val="both"/>
      </w:pPr>
      <w:r>
        <w:rPr>
          <w:rFonts w:ascii="Times New Roman" w:hAnsi="Times New Roman"/>
          <w:b w:val="0"/>
          <w:i w:val="0"/>
          <w:sz w:val="22"/>
        </w:rPr>
        <w:t>Resource allocation under conflicting criteria is a recurring task in modern supply networks, healthcare logistics and cloud-orchestration systems. The decision-maker must select a subset of candidate sources (suppliers, servers, providers) that jointly satisfies aggregate demand while balancing cost, quality, lead-time and reliability — quantities that typically pull the choice in opposite directions. Classical Multi-Criteria Decision Analysis (MCDA) techniques such as the Technique for Order Preference by Similarity to Ideal Solution (TOPSIS) and the Analytic Hierarchy Process (AHP) offer transparent, interpretable rankings, but they assume linear-additive utility and treat each alternative independently, ignoring pairwise synergies, diversification effects and bottleneck constraints that are pervasive in practice.</w:t>
      </w:r>
    </w:p>
    <w:p>
      <w:pPr>
        <w:jc w:val="both"/>
      </w:pPr>
      <w:r>
        <w:rPr>
          <w:rFonts w:ascii="Times New Roman" w:hAnsi="Times New Roman"/>
          <w:b w:val="0"/>
          <w:i w:val="0"/>
          <w:sz w:val="22"/>
        </w:rPr>
        <w:t>Population-based metaheuristics — most prominently the Genetic Algorithm (GA) and Particle Swarm Optimization (PSO) — overcome the linear assumption but tend to converge prematurely on rugged, multi-modal landscapes and provide little decision-theoretic guidance during the search. Quantum-inspired evolutionary algorithms (QEA), introduced by Han and Kim (2002), partly address this limitation by representing candidate solutions as quantum bits in superposition, thereby maintaining a probability distribution over the binary search space rather than a single discrete point.</w:t>
      </w:r>
    </w:p>
    <w:p>
      <w:pPr>
        <w:jc w:val="both"/>
      </w:pPr>
      <w:r>
        <w:rPr>
          <w:rFonts w:ascii="Times New Roman" w:hAnsi="Times New Roman"/>
          <w:b w:val="0"/>
          <w:i w:val="0"/>
          <w:sz w:val="22"/>
        </w:rPr>
        <w:t>This paper extends QEA in two directions that are critical for real-world allocation problems. First, the rotation magnitude is made dynamic — it shrinks as improvements accumulate and re-expands when the best-so-far utility stagnates, mimicking the exploration / exploitation trade-off recommended by dynamic decision theory. Second, the rotation phase is modulated by a multi-criteria interference vector that pushes the population toward positions that strengthen criteria currently underrepresented in the global best. The resulting framework — Quantum-Inspired Dynamic Decision-Making (QIDDM) — is evaluated against four widely used baselines on three benchmark instances of a Multi-Criteria Capacitated Supplier Selection Problem (MC-CSSP) augmented with non-linear synergy, risk-variance and diversification effects.</w:t>
      </w:r>
    </w:p>
    <w:p>
      <w:pPr>
        <w:jc w:val="both"/>
      </w:pPr>
      <w:r>
        <w:rPr>
          <w:rFonts w:ascii="Times New Roman" w:hAnsi="Times New Roman"/>
          <w:b w:val="0"/>
          <w:i w:val="0"/>
          <w:sz w:val="22"/>
        </w:rPr>
        <w:t>The contributions of this paper are:</w:t>
      </w:r>
    </w:p>
    <w:p>
      <w:pPr>
        <w:jc w:val="both"/>
      </w:pPr>
      <w:r>
        <w:rPr>
          <w:rFonts w:ascii="Times New Roman" w:hAnsi="Times New Roman"/>
          <w:b w:val="0"/>
          <w:i w:val="0"/>
          <w:sz w:val="22"/>
        </w:rPr>
        <w:t xml:space="preserve">  (i) a novel quantum-inspired metaheuristic with adaptive rotation and criteria-aware interference;   (ii) a benchmark formulation for MC-CSSP that captures synergy, diversification, risk and bottleneck lead-time;   (iii) a comprehensive empirical study comparing QIDDM with TOPSIS, AHP, GA and PSO over 20 independent runs per stochastic method on three instance sizes, including statistical significance testing;   (iv) open-source code and reproducible scripts for the entire experimental pipeline.</w:t>
      </w:r>
    </w:p>
    <w:p>
      <w:pPr>
        <w:pStyle w:val="Heading1"/>
      </w:pPr>
      <w:r>
        <w:rPr>
          <w:rFonts w:ascii="Times New Roman" w:hAnsi="Times New Roman"/>
          <w:color w:val="000000"/>
        </w:rPr>
        <w:t>2. Related Work</w:t>
      </w:r>
    </w:p>
    <w:p>
      <w:pPr>
        <w:jc w:val="both"/>
      </w:pPr>
      <w:r>
        <w:rPr>
          <w:rFonts w:ascii="Times New Roman" w:hAnsi="Times New Roman"/>
          <w:b w:val="0"/>
          <w:i w:val="0"/>
          <w:sz w:val="22"/>
        </w:rPr>
        <w:t>Classical MCDA methods such as TOPSIS (Hwang and Yoon, 1981) and AHP (Saaty, 1980) remain the most widely deployed tools in supplier selection because of their interpretability and low computational cost. Recent surveys (Chai et al., 2013; Govindan et al., 2015) show, however, that purely additive aggregation fails when criteria interact or when feasibility constraints couple the alternatives.</w:t>
      </w:r>
    </w:p>
    <w:p>
      <w:pPr>
        <w:jc w:val="both"/>
      </w:pPr>
      <w:r>
        <w:rPr>
          <w:rFonts w:ascii="Times New Roman" w:hAnsi="Times New Roman"/>
          <w:b w:val="0"/>
          <w:i w:val="0"/>
          <w:sz w:val="22"/>
        </w:rPr>
        <w:t>Metaheuristic approaches to supplier selection include GA (Sevkli et al., 2008), PSO (Yeh and Chuang, 2011), and hybrid neighborhood searches. They handle non-linear utilities and constraints but provide limited guidance on multi-criteria balance.</w:t>
      </w:r>
    </w:p>
    <w:p>
      <w:pPr>
        <w:jc w:val="both"/>
      </w:pPr>
      <w:r>
        <w:rPr>
          <w:rFonts w:ascii="Times New Roman" w:hAnsi="Times New Roman"/>
          <w:b w:val="0"/>
          <w:i w:val="0"/>
          <w:sz w:val="22"/>
        </w:rPr>
        <w:t>Quantum-inspired evolutionary algorithms originate with Han and Kim (2002) for the 0/1 knapsack problem and have since been applied to task scheduling, image segmentation, and feature selection. Most implementations use static rotation tables and single-objective fitness, which limits their applicability to multi-criteria settings.</w:t>
      </w:r>
    </w:p>
    <w:p>
      <w:pPr>
        <w:jc w:val="both"/>
      </w:pPr>
      <w:r>
        <w:rPr>
          <w:rFonts w:ascii="Times New Roman" w:hAnsi="Times New Roman"/>
          <w:b w:val="0"/>
          <w:i w:val="0"/>
          <w:sz w:val="22"/>
        </w:rPr>
        <w:t>Dynamic decision-making research (Edwards, 1962; Brehmer, 1992) emphasises feedback-driven adjustment of search strategies. The framework proposed here is the first, to the authors' knowledge, to embed dynamic decision-theoretic feedback directly into the rotation gate of a quantum-inspired evolutionary algorithm and to couple it with a multi-criteria interference modulator.</w:t>
      </w:r>
    </w:p>
    <w:p>
      <w:pPr>
        <w:pStyle w:val="Heading1"/>
      </w:pPr>
      <w:r>
        <w:rPr>
          <w:rFonts w:ascii="Times New Roman" w:hAnsi="Times New Roman"/>
          <w:color w:val="000000"/>
        </w:rPr>
        <w:t>3. Problem Formulation: MC-CSSP</w:t>
      </w:r>
    </w:p>
    <w:p>
      <w:pPr>
        <w:jc w:val="both"/>
      </w:pPr>
      <w:r>
        <w:rPr>
          <w:rFonts w:ascii="Times New Roman" w:hAnsi="Times New Roman"/>
          <w:b w:val="0"/>
          <w:i w:val="0"/>
          <w:sz w:val="22"/>
        </w:rPr>
        <w:t>Let N candidate suppliers be indexed by i ∈ {1,…,N}, each characterised by unit cost cᵢ, quality qᵢ, lead time ℓᵢ, reliability rᵢ, capacity κᵢ and sector class sᵢ. Let S ∈ ℝ^{N×N} be a symmetric synergy matrix with zero diagonal. The decision variable x ∈ {0,1}^N satisfies the cardinality constraint ∑ xᵢ = K and the capacity constraint ∑ κᵢ xᵢ ≥ D, where D is aggregate demand.</w:t>
      </w:r>
    </w:p>
    <w:p>
      <w:pPr>
        <w:jc w:val="both"/>
      </w:pPr>
      <w:r>
        <w:rPr>
          <w:rFonts w:ascii="Times New Roman" w:hAnsi="Times New Roman"/>
          <w:b w:val="0"/>
          <w:i w:val="0"/>
          <w:sz w:val="22"/>
        </w:rPr>
        <w:t>Each criterion is min-max normalised to a benefit-oriented [0,1] scale ñⱼ. The objective combines a linear MCDA core (with the lead-time component replaced by a worst-case bottleneck transform), a pairwise synergy term, a risk penalty proportional to the variance of the selected suppliers' reliability, a sector diversification bonus, and a saturating capacity-buffer reward:</w:t>
      </w:r>
    </w:p>
    <w:p>
      <w:pPr>
        <w:jc w:val="center"/>
      </w:pPr>
      <w:r>
        <w:rPr>
          <w:rFonts w:ascii="Times New Roman" w:hAnsi="Times New Roman"/>
          <w:b w:val="0"/>
          <w:i/>
          <w:sz w:val="22"/>
        </w:rPr>
        <w:t>U(x) = wᵀ ñ̄(x) + γ_S · (xᵀ S x)/(K(K−1)) − γ_R · Var(rᵢ | xᵢ=1) + γ_D · |unique sectors|/n_sectors + γ_C (1 − exp(−3·buffer)).</w:t>
      </w:r>
    </w:p>
    <w:p>
      <w:pPr>
        <w:jc w:val="both"/>
      </w:pPr>
      <w:r>
        <w:rPr>
          <w:rFonts w:ascii="Times New Roman" w:hAnsi="Times New Roman"/>
          <w:b w:val="0"/>
          <w:i w:val="0"/>
          <w:sz w:val="22"/>
        </w:rPr>
        <w:t>The synergy and risk terms make the landscape multi-modal and break the analytical optimality of greedy top-K ranking, motivating the use of population-based search.</w:t>
      </w:r>
    </w:p>
    <w:p>
      <w:pPr>
        <w:pStyle w:val="Heading1"/>
      </w:pPr>
      <w:r>
        <w:rPr>
          <w:rFonts w:ascii="Times New Roman" w:hAnsi="Times New Roman"/>
          <w:color w:val="000000"/>
        </w:rPr>
        <w:t>4. Proposed Framework: QIDDM</w:t>
      </w:r>
    </w:p>
    <w:p>
      <w:pPr>
        <w:pStyle w:val="Heading2"/>
      </w:pPr>
      <w:r>
        <w:rPr>
          <w:rFonts w:ascii="Times New Roman" w:hAnsi="Times New Roman"/>
          <w:color w:val="000000"/>
        </w:rPr>
        <w:t>4.1 Quantum Bit Representation</w:t>
      </w:r>
    </w:p>
    <w:p>
      <w:pPr>
        <w:jc w:val="both"/>
      </w:pPr>
      <w:r>
        <w:rPr>
          <w:rFonts w:ascii="Times New Roman" w:hAnsi="Times New Roman"/>
          <w:b w:val="0"/>
          <w:i w:val="0"/>
          <w:sz w:val="22"/>
        </w:rPr>
        <w:t>Each chromosome is a vector of N q-bits (αᵢ, βᵢ) with |αᵢ|² + |βᵢ|² = 1. The probability of selecting position i on measurement is |βᵢ|². A population of P chromosomes is maintained, providing implicit diversity through the amplitude distribution.</w:t>
      </w:r>
    </w:p>
    <w:p>
      <w:pPr>
        <w:pStyle w:val="Heading2"/>
      </w:pPr>
      <w:r>
        <w:rPr>
          <w:rFonts w:ascii="Times New Roman" w:hAnsi="Times New Roman"/>
          <w:color w:val="000000"/>
        </w:rPr>
        <w:t>4.2 Multi-Criteria Warm Start</w:t>
      </w:r>
    </w:p>
    <w:p>
      <w:pPr>
        <w:jc w:val="both"/>
      </w:pPr>
      <w:r>
        <w:rPr>
          <w:rFonts w:ascii="Times New Roman" w:hAnsi="Times New Roman"/>
          <w:b w:val="0"/>
          <w:i w:val="0"/>
          <w:sz w:val="22"/>
        </w:rPr>
        <w:t>The initial amplitudes are biased by the criteria-weighted scores wᵀ ñᵢ so that the superposition concentrates around plausibly good regions, then perturbed lightly to recover population diversity. This shortens the cold-start phase typical of QEA.</w:t>
      </w:r>
    </w:p>
    <w:p>
      <w:pPr>
        <w:pStyle w:val="Heading2"/>
      </w:pPr>
      <w:r>
        <w:rPr>
          <w:rFonts w:ascii="Times New Roman" w:hAnsi="Times New Roman"/>
          <w:color w:val="000000"/>
        </w:rPr>
        <w:t>4.3 Dynamic Phase-Rotation Gate</w:t>
      </w:r>
    </w:p>
    <w:p>
      <w:pPr>
        <w:jc w:val="both"/>
      </w:pPr>
      <w:r>
        <w:rPr>
          <w:rFonts w:ascii="Times New Roman" w:hAnsi="Times New Roman"/>
          <w:b w:val="0"/>
          <w:i w:val="0"/>
          <w:sz w:val="22"/>
        </w:rPr>
        <w:t>At iteration t the rotation magnitude is</w:t>
      </w:r>
    </w:p>
    <w:p>
      <w:pPr>
        <w:jc w:val="center"/>
      </w:pPr>
      <w:r>
        <w:rPr>
          <w:rFonts w:ascii="Times New Roman" w:hAnsi="Times New Roman"/>
          <w:b w:val="0"/>
          <w:i/>
          <w:sz w:val="22"/>
        </w:rPr>
        <w:t>θₜ = θ_max · exp(−λ t / T) + θ_min + ½ θ_max · 𝟙[stagnation &gt; 5]</w:t>
      </w:r>
    </w:p>
    <w:p>
      <w:pPr>
        <w:jc w:val="both"/>
      </w:pPr>
      <w:r>
        <w:rPr>
          <w:rFonts w:ascii="Times New Roman" w:hAnsi="Times New Roman"/>
          <w:b w:val="0"/>
          <w:i w:val="0"/>
          <w:sz w:val="22"/>
        </w:rPr>
        <w:t>The first term implements an exponential cooling schedule; the indicator term re-injects exploration whenever the best utility fails to improve for five consecutive iterations — a direct decision-theoretic feedback signal. The rotation direction follows the standard Han–Kim look-up table.</w:t>
      </w:r>
    </w:p>
    <w:p>
      <w:pPr>
        <w:pStyle w:val="Heading2"/>
      </w:pPr>
      <w:r>
        <w:rPr>
          <w:rFonts w:ascii="Times New Roman" w:hAnsi="Times New Roman"/>
          <w:color w:val="000000"/>
        </w:rPr>
        <w:t>4.4 Multi-Criteria Interference Modulation</w:t>
      </w:r>
    </w:p>
    <w:p>
      <w:pPr>
        <w:jc w:val="both"/>
      </w:pPr>
      <w:r>
        <w:rPr>
          <w:rFonts w:ascii="Times New Roman" w:hAnsi="Times New Roman"/>
          <w:b w:val="0"/>
          <w:i w:val="0"/>
          <w:sz w:val="22"/>
        </w:rPr>
        <w:t>Let g be the current global best and ñ̄(g) its mean normalised criteria vector. The criteria-weakness vector is w_weak ∝ 1 − ñ̄(g). Each candidate position i is assigned an interference value Iᵢ = 2·rescale(ñᵢ · w_weak) − 1 ∈ [−1, 1]. The effective rotation phase becomes θₜ · (1 + η·Iᵢ), so positions that strengthen criteria currently weak in g experience larger rotations. This couples the optimiser to the multi-criteria structure of the problem rather than to a scalar fitness alone.</w:t>
      </w:r>
    </w:p>
    <w:p>
      <w:pPr>
        <w:pStyle w:val="Heading2"/>
      </w:pPr>
      <w:r>
        <w:rPr>
          <w:rFonts w:ascii="Times New Roman" w:hAnsi="Times New Roman"/>
          <w:color w:val="000000"/>
        </w:rPr>
        <w:t>4.5 Q-NOT Mutation</w:t>
      </w:r>
    </w:p>
    <w:p>
      <w:pPr>
        <w:jc w:val="both"/>
      </w:pPr>
      <w:r>
        <w:rPr>
          <w:rFonts w:ascii="Times New Roman" w:hAnsi="Times New Roman"/>
          <w:b w:val="0"/>
          <w:i w:val="0"/>
          <w:sz w:val="22"/>
        </w:rPr>
        <w:t>With small probability p_q the (αᵢ, βᵢ) pair of a q-bit is swapped (equivalent to a quantum NOT gate). This preserves total probability mass while injecting low-frequency diversity, and is particularly valuable on plateaus.</w:t>
      </w:r>
    </w:p>
    <w:p>
      <w:pPr>
        <w:pStyle w:val="Heading2"/>
      </w:pPr>
      <w:r>
        <w:rPr>
          <w:rFonts w:ascii="Times New Roman" w:hAnsi="Times New Roman"/>
          <w:color w:val="000000"/>
        </w:rPr>
        <w:t>4.6 Decision-Aware Local Search</w:t>
      </w:r>
    </w:p>
    <w:p>
      <w:pPr>
        <w:jc w:val="both"/>
      </w:pPr>
      <w:r>
        <w:rPr>
          <w:rFonts w:ascii="Times New Roman" w:hAnsi="Times New Roman"/>
          <w:b w:val="0"/>
          <w:i w:val="0"/>
          <w:sz w:val="22"/>
        </w:rPr>
        <w:t>Every L iterations a 1-swap local search is performed around g. Drop candidates are the K positions inside g with lowest interference; add candidates are the positions outside g with highest interference. The first improving swap is accepted, providing a directed intensification step that respects multi-criteria balance.</w:t>
      </w:r>
    </w:p>
    <w:p>
      <w:pPr>
        <w:pStyle w:val="Heading2"/>
      </w:pPr>
      <w:r>
        <w:rPr>
          <w:rFonts w:ascii="Times New Roman" w:hAnsi="Times New Roman"/>
          <w:color w:val="000000"/>
        </w:rPr>
        <w:t>4.7 Pseudocode</w:t>
      </w:r>
    </w:p>
    <w:p>
      <w:pPr>
        <w:jc w:val="both"/>
      </w:pPr>
      <w:r>
        <w:rPr>
          <w:rFonts w:ascii="Times New Roman" w:hAnsi="Times New Roman"/>
          <w:b w:val="0"/>
          <w:i w:val="0"/>
          <w:sz w:val="22"/>
        </w:rPr>
        <w:t>1.  Compute criteria normalisation ñ and warm-start amplitudes (α,β)</w:t>
        <w:br/>
        <w:t>2.  Measure population → P selections; evaluate U; record g, U(g)</w:t>
        <w:br/>
        <w:t>3.  for t = 1 … T do</w:t>
        <w:br/>
        <w:t>4.      θₜ ← exponential schedule + stagnation jitter</w:t>
        <w:br/>
        <w:t>5.      I  ← interference(g, ñ)</w:t>
        <w:br/>
        <w:t>6.      for each chromosome and each q-bit:</w:t>
        <w:br/>
        <w:t>7.          d ← Han–Kim direction(xⱼ, gⱼ, U(x), U(g), αⱼ, βⱼ)</w:t>
        <w:br/>
        <w:t>8.          rotate (αⱼ, βⱼ) by d · θₜ · (1 + η Iⱼ)</w:t>
        <w:br/>
        <w:t>9.      apply Q-NOT mutation with probability p_q; renormalise</w:t>
        <w:br/>
        <w:t>10.     measure → new selections; evaluate; update g</w:t>
        <w:br/>
        <w:t>11.     if t mod L = 0:  g ← local_search(g, I)</w:t>
        <w:br/>
        <w:t>12. return g, U(g)</w:t>
      </w:r>
    </w:p>
    <w:p>
      <w:pPr>
        <w:pStyle w:val="Heading1"/>
      </w:pPr>
      <w:r>
        <w:rPr>
          <w:rFonts w:ascii="Times New Roman" w:hAnsi="Times New Roman"/>
          <w:color w:val="000000"/>
        </w:rPr>
        <w:t>5. Experimental Setup</w:t>
      </w:r>
    </w:p>
    <w:p>
      <w:pPr>
        <w:jc w:val="both"/>
      </w:pPr>
      <w:r>
        <w:rPr>
          <w:rFonts w:ascii="Times New Roman" w:hAnsi="Times New Roman"/>
          <w:b w:val="0"/>
          <w:i w:val="0"/>
          <w:sz w:val="22"/>
        </w:rPr>
        <w:t>Three MC-CSSP instances were generated with reproducible seeds: MC-CSSP-S (N = 20, K = 8), MC-CSSP-M (N = 40, K = 15) and MC-CSSP-L (N = 80, K = 30). Five sectors and a structured synergy matrix with same-sector positive bias are used in all instances. Criteria weights are w = (0.30, 0.30, 0.20, 0.20) for (cost, quality, lead-time, reliability).</w:t>
      </w:r>
    </w:p>
    <w:p>
      <w:pPr>
        <w:jc w:val="both"/>
      </w:pPr>
      <w:r>
        <w:rPr>
          <w:rFonts w:ascii="Times New Roman" w:hAnsi="Times New Roman"/>
          <w:b w:val="0"/>
          <w:i w:val="0"/>
          <w:sz w:val="22"/>
        </w:rPr>
        <w:t>TOPSIS and AHP are deterministic; one run per instance is reported. GA, PSO and QIDDM use a population of 40 and 120 iterations, with twenty independent runs per instance (seeds 0–19). GA uses tournament selection, uniform crossover (p_c = 0.85) and bit-flip mutation (p_m = 0.05) with cardinality repair. PSO uses discrete sigmoid binary encoding with inertia 0.6, c₁ = c₂ = 1.7 and the same repair operator. QIDDM hyper-parameters: θ_max = 0.10π, θ_min = 0.01π, decay λ = 3.0, η = 0.30, p_q = 0.02, L = 8.</w:t>
      </w:r>
    </w:p>
    <w:p>
      <w:pPr>
        <w:jc w:val="both"/>
      </w:pPr>
      <w:r>
        <w:rPr>
          <w:rFonts w:ascii="Times New Roman" w:hAnsi="Times New Roman"/>
          <w:b w:val="0"/>
          <w:i w:val="0"/>
          <w:sz w:val="22"/>
        </w:rPr>
        <w:t>All experiments were executed on a single thread with Python 3.14, NumPy 2.x and SciPy 1.17 on a Windows 10 workstation. Code and result artefacts are released with the paper.</w:t>
      </w:r>
    </w:p>
    <w:p>
      <w:pPr>
        <w:pStyle w:val="Heading1"/>
      </w:pPr>
      <w:r>
        <w:rPr>
          <w:rFonts w:ascii="Times New Roman" w:hAnsi="Times New Roman"/>
          <w:color w:val="000000"/>
        </w:rPr>
        <w:t>6. Results and Discussion</w:t>
      </w:r>
    </w:p>
    <w:p>
      <w:pPr>
        <w:jc w:val="center"/>
      </w:pPr>
      <w:r>
        <w:rPr>
          <w:rFonts w:ascii="Times New Roman" w:hAnsi="Times New Roman"/>
          <w:b/>
          <w:sz w:val="20"/>
        </w:rPr>
        <w:t>Table 1. Performance summary across three MC-CSSP instances (20 independent runs for stochastic methods).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Instance</w:t>
            </w:r>
          </w:p>
        </w:tc>
        <w:tc>
          <w:tcPr>
            <w:tcW w:type="dxa" w:w="1234"/>
          </w:tcPr>
          <w:p>
            <w:r>
              <w:rPr>
                <w:rFonts w:ascii="Times New Roman" w:hAnsi="Times New Roman"/>
                <w:b/>
                <w:sz w:val="20"/>
              </w:rPr>
              <w:t>Method</w:t>
            </w:r>
          </w:p>
        </w:tc>
        <w:tc>
          <w:tcPr>
            <w:tcW w:type="dxa" w:w="1234"/>
          </w:tcPr>
          <w:p>
            <w:r>
              <w:rPr>
                <w:rFonts w:ascii="Times New Roman" w:hAnsi="Times New Roman"/>
                <w:b/>
                <w:sz w:val="20"/>
              </w:rPr>
              <w:t>Utility (mean)</w:t>
            </w:r>
          </w:p>
        </w:tc>
        <w:tc>
          <w:tcPr>
            <w:tcW w:type="dxa" w:w="1234"/>
          </w:tcPr>
          <w:p>
            <w:r>
              <w:rPr>
                <w:rFonts w:ascii="Times New Roman" w:hAnsi="Times New Roman"/>
                <w:b/>
                <w:sz w:val="20"/>
              </w:rPr>
              <w:t>Utility (std)</w:t>
            </w:r>
          </w:p>
        </w:tc>
        <w:tc>
          <w:tcPr>
            <w:tcW w:type="dxa" w:w="1234"/>
          </w:tcPr>
          <w:p>
            <w:r>
              <w:rPr>
                <w:rFonts w:ascii="Times New Roman" w:hAnsi="Times New Roman"/>
                <w:b/>
                <w:sz w:val="20"/>
              </w:rPr>
              <w:t>Utility (best)</w:t>
            </w:r>
          </w:p>
        </w:tc>
        <w:tc>
          <w:tcPr>
            <w:tcW w:type="dxa" w:w="1234"/>
          </w:tcPr>
          <w:p>
            <w:r>
              <w:rPr>
                <w:rFonts w:ascii="Times New Roman" w:hAnsi="Times New Roman"/>
                <w:b/>
                <w:sz w:val="20"/>
              </w:rPr>
              <w:t>CPU (s)</w:t>
            </w:r>
          </w:p>
        </w:tc>
        <w:tc>
          <w:tcPr>
            <w:tcW w:type="dxa" w:w="1234"/>
          </w:tcPr>
          <w:p>
            <w:r>
              <w:rPr>
                <w:rFonts w:ascii="Times New Roman" w:hAnsi="Times New Roman"/>
                <w:b/>
                <w:sz w:val="20"/>
              </w:rPr>
              <w:t>Iter to best</w:t>
            </w:r>
          </w:p>
        </w:tc>
      </w:tr>
      <w:tr>
        <w:tc>
          <w:tcPr>
            <w:tcW w:type="dxa" w:w="1234"/>
          </w:tcPr>
          <w:p>
            <w:r>
              <w:rPr>
                <w:rFonts w:ascii="Times New Roman" w:hAnsi="Times New Roman"/>
                <w:sz w:val="20"/>
              </w:rPr>
              <w:t>MC-CSSP-L</w:t>
            </w:r>
          </w:p>
        </w:tc>
        <w:tc>
          <w:tcPr>
            <w:tcW w:type="dxa" w:w="1234"/>
          </w:tcPr>
          <w:p>
            <w:r>
              <w:rPr>
                <w:rFonts w:ascii="Times New Roman" w:hAnsi="Times New Roman"/>
                <w:sz w:val="20"/>
              </w:rPr>
              <w:t>AHP</w:t>
            </w:r>
          </w:p>
        </w:tc>
        <w:tc>
          <w:tcPr>
            <w:tcW w:type="dxa" w:w="1234"/>
          </w:tcPr>
          <w:p>
            <w:r>
              <w:rPr>
                <w:rFonts w:ascii="Times New Roman" w:hAnsi="Times New Roman"/>
                <w:sz w:val="20"/>
              </w:rPr>
              <w:t>0.6301</w:t>
            </w:r>
          </w:p>
        </w:tc>
        <w:tc>
          <w:tcPr>
            <w:tcW w:type="dxa" w:w="1234"/>
          </w:tcPr>
          <w:p>
            <w:r>
              <w:rPr>
                <w:rFonts w:ascii="Times New Roman" w:hAnsi="Times New Roman"/>
                <w:sz w:val="20"/>
              </w:rPr>
              <w:t>nan</w:t>
            </w:r>
          </w:p>
        </w:tc>
        <w:tc>
          <w:tcPr>
            <w:tcW w:type="dxa" w:w="1234"/>
          </w:tcPr>
          <w:p>
            <w:r>
              <w:rPr>
                <w:rFonts w:ascii="Times New Roman" w:hAnsi="Times New Roman"/>
                <w:sz w:val="20"/>
              </w:rPr>
              <w:t>0.6301</w:t>
            </w:r>
          </w:p>
        </w:tc>
        <w:tc>
          <w:tcPr>
            <w:tcW w:type="dxa" w:w="1234"/>
          </w:tcPr>
          <w:p>
            <w:r>
              <w:rPr>
                <w:rFonts w:ascii="Times New Roman" w:hAnsi="Times New Roman"/>
                <w:sz w:val="20"/>
              </w:rPr>
              <w:t>0.0005</w:t>
            </w:r>
          </w:p>
        </w:tc>
        <w:tc>
          <w:tcPr>
            <w:tcW w:type="dxa" w:w="1234"/>
          </w:tcPr>
          <w:p>
            <w:r>
              <w:rPr>
                <w:rFonts w:ascii="Times New Roman" w:hAnsi="Times New Roman"/>
                <w:sz w:val="20"/>
              </w:rPr>
              <w:t>0.0000</w:t>
            </w:r>
          </w:p>
        </w:tc>
      </w:tr>
      <w:tr>
        <w:tc>
          <w:tcPr>
            <w:tcW w:type="dxa" w:w="1234"/>
          </w:tcPr>
          <w:p>
            <w:r>
              <w:rPr>
                <w:rFonts w:ascii="Times New Roman" w:hAnsi="Times New Roman"/>
                <w:sz w:val="20"/>
              </w:rPr>
              <w:t>MC-CSSP-L</w:t>
            </w:r>
          </w:p>
        </w:tc>
        <w:tc>
          <w:tcPr>
            <w:tcW w:type="dxa" w:w="1234"/>
          </w:tcPr>
          <w:p>
            <w:r>
              <w:rPr>
                <w:rFonts w:ascii="Times New Roman" w:hAnsi="Times New Roman"/>
                <w:sz w:val="20"/>
              </w:rPr>
              <w:t>GA</w:t>
            </w:r>
          </w:p>
        </w:tc>
        <w:tc>
          <w:tcPr>
            <w:tcW w:type="dxa" w:w="1234"/>
          </w:tcPr>
          <w:p>
            <w:r>
              <w:rPr>
                <w:rFonts w:ascii="Times New Roman" w:hAnsi="Times New Roman"/>
                <w:sz w:val="20"/>
              </w:rPr>
              <w:t>0.6013</w:t>
            </w:r>
          </w:p>
        </w:tc>
        <w:tc>
          <w:tcPr>
            <w:tcW w:type="dxa" w:w="1234"/>
          </w:tcPr>
          <w:p>
            <w:r>
              <w:rPr>
                <w:rFonts w:ascii="Times New Roman" w:hAnsi="Times New Roman"/>
                <w:sz w:val="20"/>
              </w:rPr>
              <w:t>0.0072</w:t>
            </w:r>
          </w:p>
        </w:tc>
        <w:tc>
          <w:tcPr>
            <w:tcW w:type="dxa" w:w="1234"/>
          </w:tcPr>
          <w:p>
            <w:r>
              <w:rPr>
                <w:rFonts w:ascii="Times New Roman" w:hAnsi="Times New Roman"/>
                <w:sz w:val="20"/>
              </w:rPr>
              <w:t>0.6144</w:t>
            </w:r>
          </w:p>
        </w:tc>
        <w:tc>
          <w:tcPr>
            <w:tcW w:type="dxa" w:w="1234"/>
          </w:tcPr>
          <w:p>
            <w:r>
              <w:rPr>
                <w:rFonts w:ascii="Times New Roman" w:hAnsi="Times New Roman"/>
                <w:sz w:val="20"/>
              </w:rPr>
              <w:t>2.9243</w:t>
            </w:r>
          </w:p>
        </w:tc>
        <w:tc>
          <w:tcPr>
            <w:tcW w:type="dxa" w:w="1234"/>
          </w:tcPr>
          <w:p>
            <w:r>
              <w:rPr>
                <w:rFonts w:ascii="Times New Roman" w:hAnsi="Times New Roman"/>
                <w:sz w:val="20"/>
              </w:rPr>
              <w:t>61.7000</w:t>
            </w:r>
          </w:p>
        </w:tc>
      </w:tr>
      <w:tr>
        <w:tc>
          <w:tcPr>
            <w:tcW w:type="dxa" w:w="1234"/>
          </w:tcPr>
          <w:p>
            <w:r>
              <w:rPr>
                <w:rFonts w:ascii="Times New Roman" w:hAnsi="Times New Roman"/>
                <w:sz w:val="20"/>
              </w:rPr>
              <w:t>MC-CSSP-L</w:t>
            </w:r>
          </w:p>
        </w:tc>
        <w:tc>
          <w:tcPr>
            <w:tcW w:type="dxa" w:w="1234"/>
          </w:tcPr>
          <w:p>
            <w:r>
              <w:rPr>
                <w:rFonts w:ascii="Times New Roman" w:hAnsi="Times New Roman"/>
                <w:sz w:val="20"/>
              </w:rPr>
              <w:t>PSO</w:t>
            </w:r>
          </w:p>
        </w:tc>
        <w:tc>
          <w:tcPr>
            <w:tcW w:type="dxa" w:w="1234"/>
          </w:tcPr>
          <w:p>
            <w:r>
              <w:rPr>
                <w:rFonts w:ascii="Times New Roman" w:hAnsi="Times New Roman"/>
                <w:sz w:val="20"/>
              </w:rPr>
              <w:t>0.6194</w:t>
            </w:r>
          </w:p>
        </w:tc>
        <w:tc>
          <w:tcPr>
            <w:tcW w:type="dxa" w:w="1234"/>
          </w:tcPr>
          <w:p>
            <w:r>
              <w:rPr>
                <w:rFonts w:ascii="Times New Roman" w:hAnsi="Times New Roman"/>
                <w:sz w:val="20"/>
              </w:rPr>
              <w:t>0.0053</w:t>
            </w:r>
          </w:p>
        </w:tc>
        <w:tc>
          <w:tcPr>
            <w:tcW w:type="dxa" w:w="1234"/>
          </w:tcPr>
          <w:p>
            <w:r>
              <w:rPr>
                <w:rFonts w:ascii="Times New Roman" w:hAnsi="Times New Roman"/>
                <w:sz w:val="20"/>
              </w:rPr>
              <w:t>0.6294</w:t>
            </w:r>
          </w:p>
        </w:tc>
        <w:tc>
          <w:tcPr>
            <w:tcW w:type="dxa" w:w="1234"/>
          </w:tcPr>
          <w:p>
            <w:r>
              <w:rPr>
                <w:rFonts w:ascii="Times New Roman" w:hAnsi="Times New Roman"/>
                <w:sz w:val="20"/>
              </w:rPr>
              <w:t>2.1712</w:t>
            </w:r>
          </w:p>
        </w:tc>
        <w:tc>
          <w:tcPr>
            <w:tcW w:type="dxa" w:w="1234"/>
          </w:tcPr>
          <w:p>
            <w:r>
              <w:rPr>
                <w:rFonts w:ascii="Times New Roman" w:hAnsi="Times New Roman"/>
                <w:sz w:val="20"/>
              </w:rPr>
              <w:t>83.2000</w:t>
            </w:r>
          </w:p>
        </w:tc>
      </w:tr>
      <w:tr>
        <w:tc>
          <w:tcPr>
            <w:tcW w:type="dxa" w:w="1234"/>
          </w:tcPr>
          <w:p>
            <w:r>
              <w:rPr>
                <w:rFonts w:ascii="Times New Roman" w:hAnsi="Times New Roman"/>
                <w:sz w:val="20"/>
              </w:rPr>
              <w:t>MC-CSSP-L</w:t>
            </w:r>
          </w:p>
        </w:tc>
        <w:tc>
          <w:tcPr>
            <w:tcW w:type="dxa" w:w="1234"/>
          </w:tcPr>
          <w:p>
            <w:r>
              <w:rPr>
                <w:rFonts w:ascii="Times New Roman" w:hAnsi="Times New Roman"/>
                <w:sz w:val="20"/>
              </w:rPr>
              <w:t>QIDDM</w:t>
            </w:r>
          </w:p>
        </w:tc>
        <w:tc>
          <w:tcPr>
            <w:tcW w:type="dxa" w:w="1234"/>
          </w:tcPr>
          <w:p>
            <w:r>
              <w:rPr>
                <w:rFonts w:ascii="Times New Roman" w:hAnsi="Times New Roman"/>
                <w:sz w:val="20"/>
              </w:rPr>
              <w:t>0.6792</w:t>
            </w:r>
          </w:p>
        </w:tc>
        <w:tc>
          <w:tcPr>
            <w:tcW w:type="dxa" w:w="1234"/>
          </w:tcPr>
          <w:p>
            <w:r>
              <w:rPr>
                <w:rFonts w:ascii="Times New Roman" w:hAnsi="Times New Roman"/>
                <w:sz w:val="20"/>
              </w:rPr>
              <w:t>0.0019</w:t>
            </w:r>
          </w:p>
        </w:tc>
        <w:tc>
          <w:tcPr>
            <w:tcW w:type="dxa" w:w="1234"/>
          </w:tcPr>
          <w:p>
            <w:r>
              <w:rPr>
                <w:rFonts w:ascii="Times New Roman" w:hAnsi="Times New Roman"/>
                <w:sz w:val="20"/>
              </w:rPr>
              <w:t>0.6854</w:t>
            </w:r>
          </w:p>
        </w:tc>
        <w:tc>
          <w:tcPr>
            <w:tcW w:type="dxa" w:w="1234"/>
          </w:tcPr>
          <w:p>
            <w:r>
              <w:rPr>
                <w:rFonts w:ascii="Times New Roman" w:hAnsi="Times New Roman"/>
                <w:sz w:val="20"/>
              </w:rPr>
              <w:t>4.9723</w:t>
            </w:r>
          </w:p>
        </w:tc>
        <w:tc>
          <w:tcPr>
            <w:tcW w:type="dxa" w:w="1234"/>
          </w:tcPr>
          <w:p>
            <w:r>
              <w:rPr>
                <w:rFonts w:ascii="Times New Roman" w:hAnsi="Times New Roman"/>
                <w:sz w:val="20"/>
              </w:rPr>
              <w:t>24.8000</w:t>
            </w:r>
          </w:p>
        </w:tc>
      </w:tr>
      <w:tr>
        <w:tc>
          <w:tcPr>
            <w:tcW w:type="dxa" w:w="1234"/>
          </w:tcPr>
          <w:p>
            <w:r>
              <w:rPr>
                <w:rFonts w:ascii="Times New Roman" w:hAnsi="Times New Roman"/>
                <w:sz w:val="20"/>
              </w:rPr>
              <w:t>MC-CSSP-L</w:t>
            </w:r>
          </w:p>
        </w:tc>
        <w:tc>
          <w:tcPr>
            <w:tcW w:type="dxa" w:w="1234"/>
          </w:tcPr>
          <w:p>
            <w:r>
              <w:rPr>
                <w:rFonts w:ascii="Times New Roman" w:hAnsi="Times New Roman"/>
                <w:sz w:val="20"/>
              </w:rPr>
              <w:t>TOPSIS</w:t>
            </w:r>
          </w:p>
        </w:tc>
        <w:tc>
          <w:tcPr>
            <w:tcW w:type="dxa" w:w="1234"/>
          </w:tcPr>
          <w:p>
            <w:r>
              <w:rPr>
                <w:rFonts w:ascii="Times New Roman" w:hAnsi="Times New Roman"/>
                <w:sz w:val="20"/>
              </w:rPr>
              <w:t>0.6713</w:t>
            </w:r>
          </w:p>
        </w:tc>
        <w:tc>
          <w:tcPr>
            <w:tcW w:type="dxa" w:w="1234"/>
          </w:tcPr>
          <w:p>
            <w:r>
              <w:rPr>
                <w:rFonts w:ascii="Times New Roman" w:hAnsi="Times New Roman"/>
                <w:sz w:val="20"/>
              </w:rPr>
              <w:t>nan</w:t>
            </w:r>
          </w:p>
        </w:tc>
        <w:tc>
          <w:tcPr>
            <w:tcW w:type="dxa" w:w="1234"/>
          </w:tcPr>
          <w:p>
            <w:r>
              <w:rPr>
                <w:rFonts w:ascii="Times New Roman" w:hAnsi="Times New Roman"/>
                <w:sz w:val="20"/>
              </w:rPr>
              <w:t>0.6713</w:t>
            </w:r>
          </w:p>
        </w:tc>
        <w:tc>
          <w:tcPr>
            <w:tcW w:type="dxa" w:w="1234"/>
          </w:tcPr>
          <w:p>
            <w:r>
              <w:rPr>
                <w:rFonts w:ascii="Times New Roman" w:hAnsi="Times New Roman"/>
                <w:sz w:val="20"/>
              </w:rPr>
              <w:t>0.0005</w:t>
            </w:r>
          </w:p>
        </w:tc>
        <w:tc>
          <w:tcPr>
            <w:tcW w:type="dxa" w:w="1234"/>
          </w:tcPr>
          <w:p>
            <w:r>
              <w:rPr>
                <w:rFonts w:ascii="Times New Roman" w:hAnsi="Times New Roman"/>
                <w:sz w:val="20"/>
              </w:rPr>
              <w:t>0.0000</w:t>
            </w:r>
          </w:p>
        </w:tc>
      </w:tr>
      <w:tr>
        <w:tc>
          <w:tcPr>
            <w:tcW w:type="dxa" w:w="1234"/>
          </w:tcPr>
          <w:p>
            <w:r>
              <w:rPr>
                <w:rFonts w:ascii="Times New Roman" w:hAnsi="Times New Roman"/>
                <w:sz w:val="20"/>
              </w:rPr>
              <w:t>MC-CSSP-M</w:t>
            </w:r>
          </w:p>
        </w:tc>
        <w:tc>
          <w:tcPr>
            <w:tcW w:type="dxa" w:w="1234"/>
          </w:tcPr>
          <w:p>
            <w:r>
              <w:rPr>
                <w:rFonts w:ascii="Times New Roman" w:hAnsi="Times New Roman"/>
                <w:sz w:val="20"/>
              </w:rPr>
              <w:t>AHP</w:t>
            </w:r>
          </w:p>
        </w:tc>
        <w:tc>
          <w:tcPr>
            <w:tcW w:type="dxa" w:w="1234"/>
          </w:tcPr>
          <w:p>
            <w:r>
              <w:rPr>
                <w:rFonts w:ascii="Times New Roman" w:hAnsi="Times New Roman"/>
                <w:sz w:val="20"/>
              </w:rPr>
              <w:t>0.6403</w:t>
            </w:r>
          </w:p>
        </w:tc>
        <w:tc>
          <w:tcPr>
            <w:tcW w:type="dxa" w:w="1234"/>
          </w:tcPr>
          <w:p>
            <w:r>
              <w:rPr>
                <w:rFonts w:ascii="Times New Roman" w:hAnsi="Times New Roman"/>
                <w:sz w:val="20"/>
              </w:rPr>
              <w:t>nan</w:t>
            </w:r>
          </w:p>
        </w:tc>
        <w:tc>
          <w:tcPr>
            <w:tcW w:type="dxa" w:w="1234"/>
          </w:tcPr>
          <w:p>
            <w:r>
              <w:rPr>
                <w:rFonts w:ascii="Times New Roman" w:hAnsi="Times New Roman"/>
                <w:sz w:val="20"/>
              </w:rPr>
              <w:t>0.6403</w:t>
            </w:r>
          </w:p>
        </w:tc>
        <w:tc>
          <w:tcPr>
            <w:tcW w:type="dxa" w:w="1234"/>
          </w:tcPr>
          <w:p>
            <w:r>
              <w:rPr>
                <w:rFonts w:ascii="Times New Roman" w:hAnsi="Times New Roman"/>
                <w:sz w:val="20"/>
              </w:rPr>
              <w:t>0.0008</w:t>
            </w:r>
          </w:p>
        </w:tc>
        <w:tc>
          <w:tcPr>
            <w:tcW w:type="dxa" w:w="1234"/>
          </w:tcPr>
          <w:p>
            <w:r>
              <w:rPr>
                <w:rFonts w:ascii="Times New Roman" w:hAnsi="Times New Roman"/>
                <w:sz w:val="20"/>
              </w:rPr>
              <w:t>0.0000</w:t>
            </w:r>
          </w:p>
        </w:tc>
      </w:tr>
      <w:tr>
        <w:tc>
          <w:tcPr>
            <w:tcW w:type="dxa" w:w="1234"/>
          </w:tcPr>
          <w:p>
            <w:r>
              <w:rPr>
                <w:rFonts w:ascii="Times New Roman" w:hAnsi="Times New Roman"/>
                <w:sz w:val="20"/>
              </w:rPr>
              <w:t>MC-CSSP-M</w:t>
            </w:r>
          </w:p>
        </w:tc>
        <w:tc>
          <w:tcPr>
            <w:tcW w:type="dxa" w:w="1234"/>
          </w:tcPr>
          <w:p>
            <w:r>
              <w:rPr>
                <w:rFonts w:ascii="Times New Roman" w:hAnsi="Times New Roman"/>
                <w:sz w:val="20"/>
              </w:rPr>
              <w:t>GA</w:t>
            </w:r>
          </w:p>
        </w:tc>
        <w:tc>
          <w:tcPr>
            <w:tcW w:type="dxa" w:w="1234"/>
          </w:tcPr>
          <w:p>
            <w:r>
              <w:rPr>
                <w:rFonts w:ascii="Times New Roman" w:hAnsi="Times New Roman"/>
                <w:sz w:val="20"/>
              </w:rPr>
              <w:t>0.6092</w:t>
            </w:r>
          </w:p>
        </w:tc>
        <w:tc>
          <w:tcPr>
            <w:tcW w:type="dxa" w:w="1234"/>
          </w:tcPr>
          <w:p>
            <w:r>
              <w:rPr>
                <w:rFonts w:ascii="Times New Roman" w:hAnsi="Times New Roman"/>
                <w:sz w:val="20"/>
              </w:rPr>
              <w:t>0.0081</w:t>
            </w:r>
          </w:p>
        </w:tc>
        <w:tc>
          <w:tcPr>
            <w:tcW w:type="dxa" w:w="1234"/>
          </w:tcPr>
          <w:p>
            <w:r>
              <w:rPr>
                <w:rFonts w:ascii="Times New Roman" w:hAnsi="Times New Roman"/>
                <w:sz w:val="20"/>
              </w:rPr>
              <w:t>0.6316</w:t>
            </w:r>
          </w:p>
        </w:tc>
        <w:tc>
          <w:tcPr>
            <w:tcW w:type="dxa" w:w="1234"/>
          </w:tcPr>
          <w:p>
            <w:r>
              <w:rPr>
                <w:rFonts w:ascii="Times New Roman" w:hAnsi="Times New Roman"/>
                <w:sz w:val="20"/>
              </w:rPr>
              <w:t>3.0641</w:t>
            </w:r>
          </w:p>
        </w:tc>
        <w:tc>
          <w:tcPr>
            <w:tcW w:type="dxa" w:w="1234"/>
          </w:tcPr>
          <w:p>
            <w:r>
              <w:rPr>
                <w:rFonts w:ascii="Times New Roman" w:hAnsi="Times New Roman"/>
                <w:sz w:val="20"/>
              </w:rPr>
              <w:t>75.4000</w:t>
            </w:r>
          </w:p>
        </w:tc>
      </w:tr>
      <w:tr>
        <w:tc>
          <w:tcPr>
            <w:tcW w:type="dxa" w:w="1234"/>
          </w:tcPr>
          <w:p>
            <w:r>
              <w:rPr>
                <w:rFonts w:ascii="Times New Roman" w:hAnsi="Times New Roman"/>
                <w:sz w:val="20"/>
              </w:rPr>
              <w:t>MC-CSSP-M</w:t>
            </w:r>
          </w:p>
        </w:tc>
        <w:tc>
          <w:tcPr>
            <w:tcW w:type="dxa" w:w="1234"/>
          </w:tcPr>
          <w:p>
            <w:r>
              <w:rPr>
                <w:rFonts w:ascii="Times New Roman" w:hAnsi="Times New Roman"/>
                <w:sz w:val="20"/>
              </w:rPr>
              <w:t>PSO</w:t>
            </w:r>
          </w:p>
        </w:tc>
        <w:tc>
          <w:tcPr>
            <w:tcW w:type="dxa" w:w="1234"/>
          </w:tcPr>
          <w:p>
            <w:r>
              <w:rPr>
                <w:rFonts w:ascii="Times New Roman" w:hAnsi="Times New Roman"/>
                <w:sz w:val="20"/>
              </w:rPr>
              <w:t>0.6271</w:t>
            </w:r>
          </w:p>
        </w:tc>
        <w:tc>
          <w:tcPr>
            <w:tcW w:type="dxa" w:w="1234"/>
          </w:tcPr>
          <w:p>
            <w:r>
              <w:rPr>
                <w:rFonts w:ascii="Times New Roman" w:hAnsi="Times New Roman"/>
                <w:sz w:val="20"/>
              </w:rPr>
              <w:t>0.0062</w:t>
            </w:r>
          </w:p>
        </w:tc>
        <w:tc>
          <w:tcPr>
            <w:tcW w:type="dxa" w:w="1234"/>
          </w:tcPr>
          <w:p>
            <w:r>
              <w:rPr>
                <w:rFonts w:ascii="Times New Roman" w:hAnsi="Times New Roman"/>
                <w:sz w:val="20"/>
              </w:rPr>
              <w:t>0.6403</w:t>
            </w:r>
          </w:p>
        </w:tc>
        <w:tc>
          <w:tcPr>
            <w:tcW w:type="dxa" w:w="1234"/>
          </w:tcPr>
          <w:p>
            <w:r>
              <w:rPr>
                <w:rFonts w:ascii="Times New Roman" w:hAnsi="Times New Roman"/>
                <w:sz w:val="20"/>
              </w:rPr>
              <w:t>2.5339</w:t>
            </w:r>
          </w:p>
        </w:tc>
        <w:tc>
          <w:tcPr>
            <w:tcW w:type="dxa" w:w="1234"/>
          </w:tcPr>
          <w:p>
            <w:r>
              <w:rPr>
                <w:rFonts w:ascii="Times New Roman" w:hAnsi="Times New Roman"/>
                <w:sz w:val="20"/>
              </w:rPr>
              <w:t>77.4500</w:t>
            </w:r>
          </w:p>
        </w:tc>
      </w:tr>
      <w:tr>
        <w:tc>
          <w:tcPr>
            <w:tcW w:type="dxa" w:w="1234"/>
          </w:tcPr>
          <w:p>
            <w:r>
              <w:rPr>
                <w:rFonts w:ascii="Times New Roman" w:hAnsi="Times New Roman"/>
                <w:sz w:val="20"/>
              </w:rPr>
              <w:t>MC-CSSP-M</w:t>
            </w:r>
          </w:p>
        </w:tc>
        <w:tc>
          <w:tcPr>
            <w:tcW w:type="dxa" w:w="1234"/>
          </w:tcPr>
          <w:p>
            <w:r>
              <w:rPr>
                <w:rFonts w:ascii="Times New Roman" w:hAnsi="Times New Roman"/>
                <w:sz w:val="20"/>
              </w:rPr>
              <w:t>QIDDM</w:t>
            </w:r>
          </w:p>
        </w:tc>
        <w:tc>
          <w:tcPr>
            <w:tcW w:type="dxa" w:w="1234"/>
          </w:tcPr>
          <w:p>
            <w:r>
              <w:rPr>
                <w:rFonts w:ascii="Times New Roman" w:hAnsi="Times New Roman"/>
                <w:sz w:val="20"/>
              </w:rPr>
              <w:t>0.6485</w:t>
            </w:r>
          </w:p>
        </w:tc>
        <w:tc>
          <w:tcPr>
            <w:tcW w:type="dxa" w:w="1234"/>
          </w:tcPr>
          <w:p>
            <w:r>
              <w:rPr>
                <w:rFonts w:ascii="Times New Roman" w:hAnsi="Times New Roman"/>
                <w:sz w:val="20"/>
              </w:rPr>
              <w:t>0.0008</w:t>
            </w:r>
          </w:p>
        </w:tc>
        <w:tc>
          <w:tcPr>
            <w:tcW w:type="dxa" w:w="1234"/>
          </w:tcPr>
          <w:p>
            <w:r>
              <w:rPr>
                <w:rFonts w:ascii="Times New Roman" w:hAnsi="Times New Roman"/>
                <w:sz w:val="20"/>
              </w:rPr>
              <w:t>0.6495</w:t>
            </w:r>
          </w:p>
        </w:tc>
        <w:tc>
          <w:tcPr>
            <w:tcW w:type="dxa" w:w="1234"/>
          </w:tcPr>
          <w:p>
            <w:r>
              <w:rPr>
                <w:rFonts w:ascii="Times New Roman" w:hAnsi="Times New Roman"/>
                <w:sz w:val="20"/>
              </w:rPr>
              <w:t>4.0960</w:t>
            </w:r>
          </w:p>
        </w:tc>
        <w:tc>
          <w:tcPr>
            <w:tcW w:type="dxa" w:w="1234"/>
          </w:tcPr>
          <w:p>
            <w:r>
              <w:rPr>
                <w:rFonts w:ascii="Times New Roman" w:hAnsi="Times New Roman"/>
                <w:sz w:val="20"/>
              </w:rPr>
              <w:t>21.6500</w:t>
            </w:r>
          </w:p>
        </w:tc>
      </w:tr>
      <w:tr>
        <w:tc>
          <w:tcPr>
            <w:tcW w:type="dxa" w:w="1234"/>
          </w:tcPr>
          <w:p>
            <w:r>
              <w:rPr>
                <w:rFonts w:ascii="Times New Roman" w:hAnsi="Times New Roman"/>
                <w:sz w:val="20"/>
              </w:rPr>
              <w:t>MC-CSSP-M</w:t>
            </w:r>
          </w:p>
        </w:tc>
        <w:tc>
          <w:tcPr>
            <w:tcW w:type="dxa" w:w="1234"/>
          </w:tcPr>
          <w:p>
            <w:r>
              <w:rPr>
                <w:rFonts w:ascii="Times New Roman" w:hAnsi="Times New Roman"/>
                <w:sz w:val="20"/>
              </w:rPr>
              <w:t>TOPSIS</w:t>
            </w:r>
          </w:p>
        </w:tc>
        <w:tc>
          <w:tcPr>
            <w:tcW w:type="dxa" w:w="1234"/>
          </w:tcPr>
          <w:p>
            <w:r>
              <w:rPr>
                <w:rFonts w:ascii="Times New Roman" w:hAnsi="Times New Roman"/>
                <w:sz w:val="20"/>
              </w:rPr>
              <w:t>0.6313</w:t>
            </w:r>
          </w:p>
        </w:tc>
        <w:tc>
          <w:tcPr>
            <w:tcW w:type="dxa" w:w="1234"/>
          </w:tcPr>
          <w:p>
            <w:r>
              <w:rPr>
                <w:rFonts w:ascii="Times New Roman" w:hAnsi="Times New Roman"/>
                <w:sz w:val="20"/>
              </w:rPr>
              <w:t>nan</w:t>
            </w:r>
          </w:p>
        </w:tc>
        <w:tc>
          <w:tcPr>
            <w:tcW w:type="dxa" w:w="1234"/>
          </w:tcPr>
          <w:p>
            <w:r>
              <w:rPr>
                <w:rFonts w:ascii="Times New Roman" w:hAnsi="Times New Roman"/>
                <w:sz w:val="20"/>
              </w:rPr>
              <w:t>0.6313</w:t>
            </w:r>
          </w:p>
        </w:tc>
        <w:tc>
          <w:tcPr>
            <w:tcW w:type="dxa" w:w="1234"/>
          </w:tcPr>
          <w:p>
            <w:r>
              <w:rPr>
                <w:rFonts w:ascii="Times New Roman" w:hAnsi="Times New Roman"/>
                <w:sz w:val="20"/>
              </w:rPr>
              <w:t>0.0008</w:t>
            </w:r>
          </w:p>
        </w:tc>
        <w:tc>
          <w:tcPr>
            <w:tcW w:type="dxa" w:w="1234"/>
          </w:tcPr>
          <w:p>
            <w:r>
              <w:rPr>
                <w:rFonts w:ascii="Times New Roman" w:hAnsi="Times New Roman"/>
                <w:sz w:val="20"/>
              </w:rPr>
              <w:t>0.0000</w:t>
            </w:r>
          </w:p>
        </w:tc>
      </w:tr>
      <w:tr>
        <w:tc>
          <w:tcPr>
            <w:tcW w:type="dxa" w:w="1234"/>
          </w:tcPr>
          <w:p>
            <w:r>
              <w:rPr>
                <w:rFonts w:ascii="Times New Roman" w:hAnsi="Times New Roman"/>
                <w:sz w:val="20"/>
              </w:rPr>
              <w:t>MC-CSSP-S</w:t>
            </w:r>
          </w:p>
        </w:tc>
        <w:tc>
          <w:tcPr>
            <w:tcW w:type="dxa" w:w="1234"/>
          </w:tcPr>
          <w:p>
            <w:r>
              <w:rPr>
                <w:rFonts w:ascii="Times New Roman" w:hAnsi="Times New Roman"/>
                <w:sz w:val="20"/>
              </w:rPr>
              <w:t>AHP</w:t>
            </w:r>
          </w:p>
        </w:tc>
        <w:tc>
          <w:tcPr>
            <w:tcW w:type="dxa" w:w="1234"/>
          </w:tcPr>
          <w:p>
            <w:r>
              <w:rPr>
                <w:rFonts w:ascii="Times New Roman" w:hAnsi="Times New Roman"/>
                <w:sz w:val="20"/>
              </w:rPr>
              <w:t>0.6376</w:t>
            </w:r>
          </w:p>
        </w:tc>
        <w:tc>
          <w:tcPr>
            <w:tcW w:type="dxa" w:w="1234"/>
          </w:tcPr>
          <w:p>
            <w:r>
              <w:rPr>
                <w:rFonts w:ascii="Times New Roman" w:hAnsi="Times New Roman"/>
                <w:sz w:val="20"/>
              </w:rPr>
              <w:t>nan</w:t>
            </w:r>
          </w:p>
        </w:tc>
        <w:tc>
          <w:tcPr>
            <w:tcW w:type="dxa" w:w="1234"/>
          </w:tcPr>
          <w:p>
            <w:r>
              <w:rPr>
                <w:rFonts w:ascii="Times New Roman" w:hAnsi="Times New Roman"/>
                <w:sz w:val="20"/>
              </w:rPr>
              <w:t>0.6376</w:t>
            </w:r>
          </w:p>
        </w:tc>
        <w:tc>
          <w:tcPr>
            <w:tcW w:type="dxa" w:w="1234"/>
          </w:tcPr>
          <w:p>
            <w:r>
              <w:rPr>
                <w:rFonts w:ascii="Times New Roman" w:hAnsi="Times New Roman"/>
                <w:sz w:val="20"/>
              </w:rPr>
              <w:t>0.0009</w:t>
            </w:r>
          </w:p>
        </w:tc>
        <w:tc>
          <w:tcPr>
            <w:tcW w:type="dxa" w:w="1234"/>
          </w:tcPr>
          <w:p>
            <w:r>
              <w:rPr>
                <w:rFonts w:ascii="Times New Roman" w:hAnsi="Times New Roman"/>
                <w:sz w:val="20"/>
              </w:rPr>
              <w:t>0.0000</w:t>
            </w:r>
          </w:p>
        </w:tc>
      </w:tr>
      <w:tr>
        <w:tc>
          <w:tcPr>
            <w:tcW w:type="dxa" w:w="1234"/>
          </w:tcPr>
          <w:p>
            <w:r>
              <w:rPr>
                <w:rFonts w:ascii="Times New Roman" w:hAnsi="Times New Roman"/>
                <w:sz w:val="20"/>
              </w:rPr>
              <w:t>MC-CSSP-S</w:t>
            </w:r>
          </w:p>
        </w:tc>
        <w:tc>
          <w:tcPr>
            <w:tcW w:type="dxa" w:w="1234"/>
          </w:tcPr>
          <w:p>
            <w:r>
              <w:rPr>
                <w:rFonts w:ascii="Times New Roman" w:hAnsi="Times New Roman"/>
                <w:sz w:val="20"/>
              </w:rPr>
              <w:t>GA</w:t>
            </w:r>
          </w:p>
        </w:tc>
        <w:tc>
          <w:tcPr>
            <w:tcW w:type="dxa" w:w="1234"/>
          </w:tcPr>
          <w:p>
            <w:r>
              <w:rPr>
                <w:rFonts w:ascii="Times New Roman" w:hAnsi="Times New Roman"/>
                <w:sz w:val="20"/>
              </w:rPr>
              <w:t>0.6348</w:t>
            </w:r>
          </w:p>
        </w:tc>
        <w:tc>
          <w:tcPr>
            <w:tcW w:type="dxa" w:w="1234"/>
          </w:tcPr>
          <w:p>
            <w:r>
              <w:rPr>
                <w:rFonts w:ascii="Times New Roman" w:hAnsi="Times New Roman"/>
                <w:sz w:val="20"/>
              </w:rPr>
              <w:t>0.0095</w:t>
            </w:r>
          </w:p>
        </w:tc>
        <w:tc>
          <w:tcPr>
            <w:tcW w:type="dxa" w:w="1234"/>
          </w:tcPr>
          <w:p>
            <w:r>
              <w:rPr>
                <w:rFonts w:ascii="Times New Roman" w:hAnsi="Times New Roman"/>
                <w:sz w:val="20"/>
              </w:rPr>
              <w:t>0.6498</w:t>
            </w:r>
          </w:p>
        </w:tc>
        <w:tc>
          <w:tcPr>
            <w:tcW w:type="dxa" w:w="1234"/>
          </w:tcPr>
          <w:p>
            <w:r>
              <w:rPr>
                <w:rFonts w:ascii="Times New Roman" w:hAnsi="Times New Roman"/>
                <w:sz w:val="20"/>
              </w:rPr>
              <w:t>3.7248</w:t>
            </w:r>
          </w:p>
        </w:tc>
        <w:tc>
          <w:tcPr>
            <w:tcW w:type="dxa" w:w="1234"/>
          </w:tcPr>
          <w:p>
            <w:r>
              <w:rPr>
                <w:rFonts w:ascii="Times New Roman" w:hAnsi="Times New Roman"/>
                <w:sz w:val="20"/>
              </w:rPr>
              <w:t>35.8000</w:t>
            </w:r>
          </w:p>
        </w:tc>
      </w:tr>
      <w:tr>
        <w:tc>
          <w:tcPr>
            <w:tcW w:type="dxa" w:w="1234"/>
          </w:tcPr>
          <w:p>
            <w:r>
              <w:rPr>
                <w:rFonts w:ascii="Times New Roman" w:hAnsi="Times New Roman"/>
                <w:sz w:val="20"/>
              </w:rPr>
              <w:t>MC-CSSP-S</w:t>
            </w:r>
          </w:p>
        </w:tc>
        <w:tc>
          <w:tcPr>
            <w:tcW w:type="dxa" w:w="1234"/>
          </w:tcPr>
          <w:p>
            <w:r>
              <w:rPr>
                <w:rFonts w:ascii="Times New Roman" w:hAnsi="Times New Roman"/>
                <w:sz w:val="20"/>
              </w:rPr>
              <w:t>PSO</w:t>
            </w:r>
          </w:p>
        </w:tc>
        <w:tc>
          <w:tcPr>
            <w:tcW w:type="dxa" w:w="1234"/>
          </w:tcPr>
          <w:p>
            <w:r>
              <w:rPr>
                <w:rFonts w:ascii="Times New Roman" w:hAnsi="Times New Roman"/>
                <w:sz w:val="20"/>
              </w:rPr>
              <w:t>0.6487</w:t>
            </w:r>
          </w:p>
        </w:tc>
        <w:tc>
          <w:tcPr>
            <w:tcW w:type="dxa" w:w="1234"/>
          </w:tcPr>
          <w:p>
            <w:r>
              <w:rPr>
                <w:rFonts w:ascii="Times New Roman" w:hAnsi="Times New Roman"/>
                <w:sz w:val="20"/>
              </w:rPr>
              <w:t>0.0012</w:t>
            </w:r>
          </w:p>
        </w:tc>
        <w:tc>
          <w:tcPr>
            <w:tcW w:type="dxa" w:w="1234"/>
          </w:tcPr>
          <w:p>
            <w:r>
              <w:rPr>
                <w:rFonts w:ascii="Times New Roman" w:hAnsi="Times New Roman"/>
                <w:sz w:val="20"/>
              </w:rPr>
              <w:t>0.6498</w:t>
            </w:r>
          </w:p>
        </w:tc>
        <w:tc>
          <w:tcPr>
            <w:tcW w:type="dxa" w:w="1234"/>
          </w:tcPr>
          <w:p>
            <w:r>
              <w:rPr>
                <w:rFonts w:ascii="Times New Roman" w:hAnsi="Times New Roman"/>
                <w:sz w:val="20"/>
              </w:rPr>
              <w:t>3.2810</w:t>
            </w:r>
          </w:p>
        </w:tc>
        <w:tc>
          <w:tcPr>
            <w:tcW w:type="dxa" w:w="1234"/>
          </w:tcPr>
          <w:p>
            <w:r>
              <w:rPr>
                <w:rFonts w:ascii="Times New Roman" w:hAnsi="Times New Roman"/>
                <w:sz w:val="20"/>
              </w:rPr>
              <w:t>53.8500</w:t>
            </w:r>
          </w:p>
        </w:tc>
      </w:tr>
      <w:tr>
        <w:tc>
          <w:tcPr>
            <w:tcW w:type="dxa" w:w="1234"/>
          </w:tcPr>
          <w:p>
            <w:r>
              <w:rPr>
                <w:rFonts w:ascii="Times New Roman" w:hAnsi="Times New Roman"/>
                <w:sz w:val="20"/>
              </w:rPr>
              <w:t>MC-CSSP-S</w:t>
            </w:r>
          </w:p>
        </w:tc>
        <w:tc>
          <w:tcPr>
            <w:tcW w:type="dxa" w:w="1234"/>
          </w:tcPr>
          <w:p>
            <w:r>
              <w:rPr>
                <w:rFonts w:ascii="Times New Roman" w:hAnsi="Times New Roman"/>
                <w:sz w:val="20"/>
              </w:rPr>
              <w:t>QIDDM</w:t>
            </w:r>
          </w:p>
        </w:tc>
        <w:tc>
          <w:tcPr>
            <w:tcW w:type="dxa" w:w="1234"/>
          </w:tcPr>
          <w:p>
            <w:r>
              <w:rPr>
                <w:rFonts w:ascii="Times New Roman" w:hAnsi="Times New Roman"/>
                <w:sz w:val="20"/>
              </w:rPr>
              <w:t>0.6486</w:t>
            </w:r>
          </w:p>
        </w:tc>
        <w:tc>
          <w:tcPr>
            <w:tcW w:type="dxa" w:w="1234"/>
          </w:tcPr>
          <w:p>
            <w:r>
              <w:rPr>
                <w:rFonts w:ascii="Times New Roman" w:hAnsi="Times New Roman"/>
                <w:sz w:val="20"/>
              </w:rPr>
              <w:t>0.0008</w:t>
            </w:r>
          </w:p>
        </w:tc>
        <w:tc>
          <w:tcPr>
            <w:tcW w:type="dxa" w:w="1234"/>
          </w:tcPr>
          <w:p>
            <w:r>
              <w:rPr>
                <w:rFonts w:ascii="Times New Roman" w:hAnsi="Times New Roman"/>
                <w:sz w:val="20"/>
              </w:rPr>
              <w:t>0.6498</w:t>
            </w:r>
          </w:p>
        </w:tc>
        <w:tc>
          <w:tcPr>
            <w:tcW w:type="dxa" w:w="1234"/>
          </w:tcPr>
          <w:p>
            <w:r>
              <w:rPr>
                <w:rFonts w:ascii="Times New Roman" w:hAnsi="Times New Roman"/>
                <w:sz w:val="20"/>
              </w:rPr>
              <w:t>4.3560</w:t>
            </w:r>
          </w:p>
        </w:tc>
        <w:tc>
          <w:tcPr>
            <w:tcW w:type="dxa" w:w="1234"/>
          </w:tcPr>
          <w:p>
            <w:r>
              <w:rPr>
                <w:rFonts w:ascii="Times New Roman" w:hAnsi="Times New Roman"/>
                <w:sz w:val="20"/>
              </w:rPr>
              <w:t>10.5500</w:t>
            </w:r>
          </w:p>
        </w:tc>
      </w:tr>
      <w:tr>
        <w:tc>
          <w:tcPr>
            <w:tcW w:type="dxa" w:w="1234"/>
          </w:tcPr>
          <w:p>
            <w:r>
              <w:rPr>
                <w:rFonts w:ascii="Times New Roman" w:hAnsi="Times New Roman"/>
                <w:sz w:val="20"/>
              </w:rPr>
              <w:t>MC-CSSP-S</w:t>
            </w:r>
          </w:p>
        </w:tc>
        <w:tc>
          <w:tcPr>
            <w:tcW w:type="dxa" w:w="1234"/>
          </w:tcPr>
          <w:p>
            <w:r>
              <w:rPr>
                <w:rFonts w:ascii="Times New Roman" w:hAnsi="Times New Roman"/>
                <w:sz w:val="20"/>
              </w:rPr>
              <w:t>TOPSIS</w:t>
            </w:r>
          </w:p>
        </w:tc>
        <w:tc>
          <w:tcPr>
            <w:tcW w:type="dxa" w:w="1234"/>
          </w:tcPr>
          <w:p>
            <w:r>
              <w:rPr>
                <w:rFonts w:ascii="Times New Roman" w:hAnsi="Times New Roman"/>
                <w:sz w:val="20"/>
              </w:rPr>
              <w:t>0.6182</w:t>
            </w:r>
          </w:p>
        </w:tc>
        <w:tc>
          <w:tcPr>
            <w:tcW w:type="dxa" w:w="1234"/>
          </w:tcPr>
          <w:p>
            <w:r>
              <w:rPr>
                <w:rFonts w:ascii="Times New Roman" w:hAnsi="Times New Roman"/>
                <w:sz w:val="20"/>
              </w:rPr>
              <w:t>nan</w:t>
            </w:r>
          </w:p>
        </w:tc>
        <w:tc>
          <w:tcPr>
            <w:tcW w:type="dxa" w:w="1234"/>
          </w:tcPr>
          <w:p>
            <w:r>
              <w:rPr>
                <w:rFonts w:ascii="Times New Roman" w:hAnsi="Times New Roman"/>
                <w:sz w:val="20"/>
              </w:rPr>
              <w:t>0.6182</w:t>
            </w:r>
          </w:p>
        </w:tc>
        <w:tc>
          <w:tcPr>
            <w:tcW w:type="dxa" w:w="1234"/>
          </w:tcPr>
          <w:p>
            <w:r>
              <w:rPr>
                <w:rFonts w:ascii="Times New Roman" w:hAnsi="Times New Roman"/>
                <w:sz w:val="20"/>
              </w:rPr>
              <w:t>0.0015</w:t>
            </w:r>
          </w:p>
        </w:tc>
        <w:tc>
          <w:tcPr>
            <w:tcW w:type="dxa" w:w="1234"/>
          </w:tcPr>
          <w:p>
            <w:r>
              <w:rPr>
                <w:rFonts w:ascii="Times New Roman" w:hAnsi="Times New Roman"/>
                <w:sz w:val="20"/>
              </w:rPr>
              <w:t>0.0000</w:t>
            </w:r>
          </w:p>
        </w:tc>
      </w:tr>
    </w:tbl>
    <w:p>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1627343"/>
            <wp:docPr id="1" name="Picture 1"/>
            <wp:cNvGraphicFramePr>
              <a:graphicFrameLocks noChangeAspect="1"/>
            </wp:cNvGraphicFramePr>
            <a:graphic>
              <a:graphicData uri="http://schemas.openxmlformats.org/drawingml/2006/picture">
                <pic:pic>
                  <pic:nvPicPr>
                    <pic:cNvPr id="0" name="fig_convergence.png"/>
                    <pic:cNvPicPr/>
                  </pic:nvPicPr>
                  <pic:blipFill>
                    <a:blip r:embed="rId9"/>
                    <a:stretch>
                      <a:fillRect/>
                    </a:stretch>
                  </pic:blipFill>
                  <pic:spPr>
                    <a:xfrm>
                      <a:off x="0" y="0"/>
                      <a:ext cx="5943600" cy="1627343"/>
                    </a:xfrm>
                    <a:prstGeom prst="rect"/>
                  </pic:spPr>
                </pic:pic>
              </a:graphicData>
            </a:graphic>
          </wp:inline>
        </w:drawing>
      </w:r>
    </w:p>
    <w:p>
      <w:pPr>
        <w:jc w:val="center"/>
      </w:pPr>
      <w:r>
        <w:rPr>
          <w:rFonts w:ascii="Times New Roman" w:hAnsi="Times New Roman"/>
          <w:i/>
          <w:sz w:val="20"/>
        </w:rPr>
        <w:t>Figure 1. Mean best-utility convergence per iteration (shaded ± 1 σ).</w:t>
      </w:r>
    </w:p>
    <w:p>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1746857"/>
            <wp:docPr id="2" name="Picture 2"/>
            <wp:cNvGraphicFramePr>
              <a:graphicFrameLocks noChangeAspect="1"/>
            </wp:cNvGraphicFramePr>
            <a:graphic>
              <a:graphicData uri="http://schemas.openxmlformats.org/drawingml/2006/picture">
                <pic:pic>
                  <pic:nvPicPr>
                    <pic:cNvPr id="0" name="fig_utility_box.png"/>
                    <pic:cNvPicPr/>
                  </pic:nvPicPr>
                  <pic:blipFill>
                    <a:blip r:embed="rId10"/>
                    <a:stretch>
                      <a:fillRect/>
                    </a:stretch>
                  </pic:blipFill>
                  <pic:spPr>
                    <a:xfrm>
                      <a:off x="0" y="0"/>
                      <a:ext cx="5943600" cy="1746857"/>
                    </a:xfrm>
                    <a:prstGeom prst="rect"/>
                  </pic:spPr>
                </pic:pic>
              </a:graphicData>
            </a:graphic>
          </wp:inline>
        </w:drawing>
      </w:r>
    </w:p>
    <w:p>
      <w:pPr>
        <w:jc w:val="center"/>
      </w:pPr>
      <w:r>
        <w:rPr>
          <w:rFonts w:ascii="Times New Roman" w:hAnsi="Times New Roman"/>
          <w:i/>
          <w:sz w:val="20"/>
        </w:rPr>
        <w:t>Figure 2. Distribution of best utilities across runs.</w:t>
      </w:r>
    </w:p>
    <w:p>
      <w:r>
        <w:rPr>
          <w:rFonts w:ascii="Times New Roman" w:hAnsi="Times New Roman"/>
          <w:b w:val="0"/>
          <w:i w:val="0"/>
          <w:sz w:val="22"/>
        </w:rPr>
      </w:r>
    </w:p>
    <w:p>
      <w:pPr>
        <w:jc w:val="center"/>
      </w:pPr>
      <w:r>
        <w:drawing>
          <wp:inline xmlns:a="http://schemas.openxmlformats.org/drawingml/2006/main" xmlns:pic="http://schemas.openxmlformats.org/drawingml/2006/picture">
            <wp:extent cx="5029200" cy="2449969"/>
            <wp:docPr id="3" name="Picture 3"/>
            <wp:cNvGraphicFramePr>
              <a:graphicFrameLocks noChangeAspect="1"/>
            </wp:cNvGraphicFramePr>
            <a:graphic>
              <a:graphicData uri="http://schemas.openxmlformats.org/drawingml/2006/picture">
                <pic:pic>
                  <pic:nvPicPr>
                    <pic:cNvPr id="0" name="fig_runtime_bar.png"/>
                    <pic:cNvPicPr/>
                  </pic:nvPicPr>
                  <pic:blipFill>
                    <a:blip r:embed="rId11"/>
                    <a:stretch>
                      <a:fillRect/>
                    </a:stretch>
                  </pic:blipFill>
                  <pic:spPr>
                    <a:xfrm>
                      <a:off x="0" y="0"/>
                      <a:ext cx="5029200" cy="2449969"/>
                    </a:xfrm>
                    <a:prstGeom prst="rect"/>
                  </pic:spPr>
                </pic:pic>
              </a:graphicData>
            </a:graphic>
          </wp:inline>
        </w:drawing>
      </w:r>
    </w:p>
    <w:p>
      <w:pPr>
        <w:jc w:val="center"/>
      </w:pPr>
      <w:r>
        <w:rPr>
          <w:rFonts w:ascii="Times New Roman" w:hAnsi="Times New Roman"/>
          <w:i/>
          <w:sz w:val="20"/>
        </w:rPr>
        <w:t>Figure 3. Mean CPU time per run.</w:t>
      </w:r>
    </w:p>
    <w:p>
      <w:r>
        <w:rPr>
          <w:rFonts w:ascii="Times New Roman" w:hAnsi="Times New Roman"/>
          <w:b w:val="0"/>
          <w:i w:val="0"/>
          <w:sz w:val="22"/>
        </w:rPr>
      </w:r>
    </w:p>
    <w:p>
      <w:pPr>
        <w:jc w:val="center"/>
      </w:pPr>
      <w:r>
        <w:drawing>
          <wp:inline xmlns:a="http://schemas.openxmlformats.org/drawingml/2006/main" xmlns:pic="http://schemas.openxmlformats.org/drawingml/2006/picture">
            <wp:extent cx="4572000" cy="2405499"/>
            <wp:docPr id="4" name="Picture 4"/>
            <wp:cNvGraphicFramePr>
              <a:graphicFrameLocks noChangeAspect="1"/>
            </wp:cNvGraphicFramePr>
            <a:graphic>
              <a:graphicData uri="http://schemas.openxmlformats.org/drawingml/2006/picture">
                <pic:pic>
                  <pic:nvPicPr>
                    <pic:cNvPr id="0" name="fig_iter_to_best.png"/>
                    <pic:cNvPicPr/>
                  </pic:nvPicPr>
                  <pic:blipFill>
                    <a:blip r:embed="rId12"/>
                    <a:stretch>
                      <a:fillRect/>
                    </a:stretch>
                  </pic:blipFill>
                  <pic:spPr>
                    <a:xfrm>
                      <a:off x="0" y="0"/>
                      <a:ext cx="4572000" cy="2405499"/>
                    </a:xfrm>
                    <a:prstGeom prst="rect"/>
                  </pic:spPr>
                </pic:pic>
              </a:graphicData>
            </a:graphic>
          </wp:inline>
        </w:drawing>
      </w:r>
    </w:p>
    <w:p>
      <w:pPr>
        <w:jc w:val="center"/>
      </w:pPr>
      <w:r>
        <w:rPr>
          <w:rFonts w:ascii="Times New Roman" w:hAnsi="Times New Roman"/>
          <w:i/>
          <w:sz w:val="20"/>
        </w:rPr>
        <w:t>Figure 4. Mean iterations required to reach the best-found solution (lower is faster).</w:t>
      </w:r>
    </w:p>
    <w:p>
      <w:r>
        <w:rPr>
          <w:rFonts w:ascii="Times New Roman" w:hAnsi="Times New Roman"/>
          <w:b w:val="0"/>
          <w:i w:val="0"/>
          <w:sz w:val="22"/>
        </w:rPr>
      </w:r>
    </w:p>
    <w:p>
      <w:pPr>
        <w:jc w:val="center"/>
      </w:pPr>
      <w:r>
        <w:drawing>
          <wp:inline xmlns:a="http://schemas.openxmlformats.org/drawingml/2006/main" xmlns:pic="http://schemas.openxmlformats.org/drawingml/2006/picture">
            <wp:extent cx="4389120" cy="3818651"/>
            <wp:docPr id="5" name="Picture 5"/>
            <wp:cNvGraphicFramePr>
              <a:graphicFrameLocks noChangeAspect="1"/>
            </wp:cNvGraphicFramePr>
            <a:graphic>
              <a:graphicData uri="http://schemas.openxmlformats.org/drawingml/2006/picture">
                <pic:pic>
                  <pic:nvPicPr>
                    <pic:cNvPr id="0" name="fig_radar.png"/>
                    <pic:cNvPicPr/>
                  </pic:nvPicPr>
                  <pic:blipFill>
                    <a:blip r:embed="rId13"/>
                    <a:stretch>
                      <a:fillRect/>
                    </a:stretch>
                  </pic:blipFill>
                  <pic:spPr>
                    <a:xfrm>
                      <a:off x="0" y="0"/>
                      <a:ext cx="4389120" cy="3818651"/>
                    </a:xfrm>
                    <a:prstGeom prst="rect"/>
                  </pic:spPr>
                </pic:pic>
              </a:graphicData>
            </a:graphic>
          </wp:inline>
        </w:drawing>
      </w:r>
    </w:p>
    <w:p>
      <w:pPr>
        <w:jc w:val="center"/>
      </w:pPr>
      <w:r>
        <w:rPr>
          <w:rFonts w:ascii="Times New Roman" w:hAnsi="Times New Roman"/>
          <w:i/>
          <w:sz w:val="20"/>
        </w:rPr>
        <w:t>Figure 5. Criteria profile of the best solution found by each method on the largest instance (MC-CSSP-L).</w:t>
      </w:r>
    </w:p>
    <w:p>
      <w:r>
        <w:rPr>
          <w:rFonts w:ascii="Times New Roman" w:hAnsi="Times New Roman"/>
          <w:b w:val="0"/>
          <w:i w:val="0"/>
          <w:sz w:val="22"/>
        </w:rPr>
      </w:r>
    </w:p>
    <w:p>
      <w:pPr>
        <w:jc w:val="center"/>
      </w:pPr>
      <w:r>
        <w:rPr>
          <w:rFonts w:ascii="Times New Roman" w:hAnsi="Times New Roman"/>
          <w:b/>
          <w:sz w:val="20"/>
        </w:rPr>
        <w:t>Table 2. Mann–Whitney U test (one-sided): QIDDM &gt; baseline.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Instance</w:t>
            </w:r>
          </w:p>
        </w:tc>
        <w:tc>
          <w:tcPr>
            <w:tcW w:type="dxa" w:w="1440"/>
          </w:tcPr>
          <w:p>
            <w:r>
              <w:rPr>
                <w:rFonts w:ascii="Times New Roman" w:hAnsi="Times New Roman"/>
                <w:b/>
                <w:sz w:val="20"/>
              </w:rPr>
              <w:t>Baseline</w:t>
            </w:r>
          </w:p>
        </w:tc>
        <w:tc>
          <w:tcPr>
            <w:tcW w:type="dxa" w:w="1440"/>
          </w:tcPr>
          <w:p>
            <w:r>
              <w:rPr>
                <w:rFonts w:ascii="Times New Roman" w:hAnsi="Times New Roman"/>
                <w:b/>
                <w:sz w:val="20"/>
              </w:rPr>
              <w:t>QIDDM mean</w:t>
            </w:r>
          </w:p>
        </w:tc>
        <w:tc>
          <w:tcPr>
            <w:tcW w:type="dxa" w:w="1440"/>
          </w:tcPr>
          <w:p>
            <w:r>
              <w:rPr>
                <w:rFonts w:ascii="Times New Roman" w:hAnsi="Times New Roman"/>
                <w:b/>
                <w:sz w:val="20"/>
              </w:rPr>
              <w:t>Baseline mean</w:t>
            </w:r>
          </w:p>
        </w:tc>
        <w:tc>
          <w:tcPr>
            <w:tcW w:type="dxa" w:w="1440"/>
          </w:tcPr>
          <w:p>
            <w:r>
              <w:rPr>
                <w:rFonts w:ascii="Times New Roman" w:hAnsi="Times New Roman"/>
                <w:b/>
                <w:sz w:val="20"/>
              </w:rPr>
              <w:t>p-value</w:t>
            </w:r>
          </w:p>
        </w:tc>
        <w:tc>
          <w:tcPr>
            <w:tcW w:type="dxa" w:w="1440"/>
          </w:tcPr>
          <w:p>
            <w:r>
              <w:rPr>
                <w:rFonts w:ascii="Times New Roman" w:hAnsi="Times New Roman"/>
                <w:b/>
                <w:sz w:val="20"/>
              </w:rPr>
              <w:t>Significant (α = 0.05)</w:t>
            </w:r>
          </w:p>
        </w:tc>
      </w:tr>
      <w:tr>
        <w:tc>
          <w:tcPr>
            <w:tcW w:type="dxa" w:w="1440"/>
          </w:tcPr>
          <w:p>
            <w:r>
              <w:rPr>
                <w:rFonts w:ascii="Times New Roman" w:hAnsi="Times New Roman"/>
                <w:sz w:val="20"/>
              </w:rPr>
              <w:t>MC-CSSP-S</w:t>
            </w:r>
          </w:p>
        </w:tc>
        <w:tc>
          <w:tcPr>
            <w:tcW w:type="dxa" w:w="1440"/>
          </w:tcPr>
          <w:p>
            <w:r>
              <w:rPr>
                <w:rFonts w:ascii="Times New Roman" w:hAnsi="Times New Roman"/>
                <w:sz w:val="20"/>
              </w:rPr>
              <w:t>GA</w:t>
            </w:r>
          </w:p>
        </w:tc>
        <w:tc>
          <w:tcPr>
            <w:tcW w:type="dxa" w:w="1440"/>
          </w:tcPr>
          <w:p>
            <w:r>
              <w:rPr>
                <w:rFonts w:ascii="Times New Roman" w:hAnsi="Times New Roman"/>
                <w:sz w:val="20"/>
              </w:rPr>
              <w:t>0.6486</w:t>
            </w:r>
          </w:p>
        </w:tc>
        <w:tc>
          <w:tcPr>
            <w:tcW w:type="dxa" w:w="1440"/>
          </w:tcPr>
          <w:p>
            <w:r>
              <w:rPr>
                <w:rFonts w:ascii="Times New Roman" w:hAnsi="Times New Roman"/>
                <w:sz w:val="20"/>
              </w:rPr>
              <w:t>0.6348</w:t>
            </w:r>
          </w:p>
        </w:tc>
        <w:tc>
          <w:tcPr>
            <w:tcW w:type="dxa" w:w="1440"/>
          </w:tcPr>
          <w:p>
            <w:r>
              <w:rPr>
                <w:rFonts w:ascii="Times New Roman" w:hAnsi="Times New Roman"/>
                <w:sz w:val="20"/>
              </w:rPr>
              <w:t>0.0000</w:t>
            </w:r>
          </w:p>
        </w:tc>
        <w:tc>
          <w:tcPr>
            <w:tcW w:type="dxa" w:w="1440"/>
          </w:tcPr>
          <w:p>
            <w:r>
              <w:rPr>
                <w:rFonts w:ascii="Times New Roman" w:hAnsi="Times New Roman"/>
                <w:sz w:val="20"/>
              </w:rPr>
              <w:t>True</w:t>
            </w:r>
          </w:p>
        </w:tc>
      </w:tr>
      <w:tr>
        <w:tc>
          <w:tcPr>
            <w:tcW w:type="dxa" w:w="1440"/>
          </w:tcPr>
          <w:p>
            <w:r>
              <w:rPr>
                <w:rFonts w:ascii="Times New Roman" w:hAnsi="Times New Roman"/>
                <w:sz w:val="20"/>
              </w:rPr>
              <w:t>MC-CSSP-S</w:t>
            </w:r>
          </w:p>
        </w:tc>
        <w:tc>
          <w:tcPr>
            <w:tcW w:type="dxa" w:w="1440"/>
          </w:tcPr>
          <w:p>
            <w:r>
              <w:rPr>
                <w:rFonts w:ascii="Times New Roman" w:hAnsi="Times New Roman"/>
                <w:sz w:val="20"/>
              </w:rPr>
              <w:t>PSO</w:t>
            </w:r>
          </w:p>
        </w:tc>
        <w:tc>
          <w:tcPr>
            <w:tcW w:type="dxa" w:w="1440"/>
          </w:tcPr>
          <w:p>
            <w:r>
              <w:rPr>
                <w:rFonts w:ascii="Times New Roman" w:hAnsi="Times New Roman"/>
                <w:sz w:val="20"/>
              </w:rPr>
              <w:t>0.6486</w:t>
            </w:r>
          </w:p>
        </w:tc>
        <w:tc>
          <w:tcPr>
            <w:tcW w:type="dxa" w:w="1440"/>
          </w:tcPr>
          <w:p>
            <w:r>
              <w:rPr>
                <w:rFonts w:ascii="Times New Roman" w:hAnsi="Times New Roman"/>
                <w:sz w:val="20"/>
              </w:rPr>
              <w:t>0.6487</w:t>
            </w:r>
          </w:p>
        </w:tc>
        <w:tc>
          <w:tcPr>
            <w:tcW w:type="dxa" w:w="1440"/>
          </w:tcPr>
          <w:p>
            <w:r>
              <w:rPr>
                <w:rFonts w:ascii="Times New Roman" w:hAnsi="Times New Roman"/>
                <w:sz w:val="20"/>
              </w:rPr>
              <w:t>0.7713</w:t>
            </w:r>
          </w:p>
        </w:tc>
        <w:tc>
          <w:tcPr>
            <w:tcW w:type="dxa" w:w="1440"/>
          </w:tcPr>
          <w:p>
            <w:r>
              <w:rPr>
                <w:rFonts w:ascii="Times New Roman" w:hAnsi="Times New Roman"/>
                <w:sz w:val="20"/>
              </w:rPr>
              <w:t>False</w:t>
            </w:r>
          </w:p>
        </w:tc>
      </w:tr>
      <w:tr>
        <w:tc>
          <w:tcPr>
            <w:tcW w:type="dxa" w:w="1440"/>
          </w:tcPr>
          <w:p>
            <w:r>
              <w:rPr>
                <w:rFonts w:ascii="Times New Roman" w:hAnsi="Times New Roman"/>
                <w:sz w:val="20"/>
              </w:rPr>
              <w:t>MC-CSSP-M</w:t>
            </w:r>
          </w:p>
        </w:tc>
        <w:tc>
          <w:tcPr>
            <w:tcW w:type="dxa" w:w="1440"/>
          </w:tcPr>
          <w:p>
            <w:r>
              <w:rPr>
                <w:rFonts w:ascii="Times New Roman" w:hAnsi="Times New Roman"/>
                <w:sz w:val="20"/>
              </w:rPr>
              <w:t>GA</w:t>
            </w:r>
          </w:p>
        </w:tc>
        <w:tc>
          <w:tcPr>
            <w:tcW w:type="dxa" w:w="1440"/>
          </w:tcPr>
          <w:p>
            <w:r>
              <w:rPr>
                <w:rFonts w:ascii="Times New Roman" w:hAnsi="Times New Roman"/>
                <w:sz w:val="20"/>
              </w:rPr>
              <w:t>0.6485</w:t>
            </w:r>
          </w:p>
        </w:tc>
        <w:tc>
          <w:tcPr>
            <w:tcW w:type="dxa" w:w="1440"/>
          </w:tcPr>
          <w:p>
            <w:r>
              <w:rPr>
                <w:rFonts w:ascii="Times New Roman" w:hAnsi="Times New Roman"/>
                <w:sz w:val="20"/>
              </w:rPr>
              <w:t>0.6092</w:t>
            </w:r>
          </w:p>
        </w:tc>
        <w:tc>
          <w:tcPr>
            <w:tcW w:type="dxa" w:w="1440"/>
          </w:tcPr>
          <w:p>
            <w:r>
              <w:rPr>
                <w:rFonts w:ascii="Times New Roman" w:hAnsi="Times New Roman"/>
                <w:sz w:val="20"/>
              </w:rPr>
              <w:t>0.0000</w:t>
            </w:r>
          </w:p>
        </w:tc>
        <w:tc>
          <w:tcPr>
            <w:tcW w:type="dxa" w:w="1440"/>
          </w:tcPr>
          <w:p>
            <w:r>
              <w:rPr>
                <w:rFonts w:ascii="Times New Roman" w:hAnsi="Times New Roman"/>
                <w:sz w:val="20"/>
              </w:rPr>
              <w:t>True</w:t>
            </w:r>
          </w:p>
        </w:tc>
      </w:tr>
      <w:tr>
        <w:tc>
          <w:tcPr>
            <w:tcW w:type="dxa" w:w="1440"/>
          </w:tcPr>
          <w:p>
            <w:r>
              <w:rPr>
                <w:rFonts w:ascii="Times New Roman" w:hAnsi="Times New Roman"/>
                <w:sz w:val="20"/>
              </w:rPr>
              <w:t>MC-CSSP-M</w:t>
            </w:r>
          </w:p>
        </w:tc>
        <w:tc>
          <w:tcPr>
            <w:tcW w:type="dxa" w:w="1440"/>
          </w:tcPr>
          <w:p>
            <w:r>
              <w:rPr>
                <w:rFonts w:ascii="Times New Roman" w:hAnsi="Times New Roman"/>
                <w:sz w:val="20"/>
              </w:rPr>
              <w:t>PSO</w:t>
            </w:r>
          </w:p>
        </w:tc>
        <w:tc>
          <w:tcPr>
            <w:tcW w:type="dxa" w:w="1440"/>
          </w:tcPr>
          <w:p>
            <w:r>
              <w:rPr>
                <w:rFonts w:ascii="Times New Roman" w:hAnsi="Times New Roman"/>
                <w:sz w:val="20"/>
              </w:rPr>
              <w:t>0.6485</w:t>
            </w:r>
          </w:p>
        </w:tc>
        <w:tc>
          <w:tcPr>
            <w:tcW w:type="dxa" w:w="1440"/>
          </w:tcPr>
          <w:p>
            <w:r>
              <w:rPr>
                <w:rFonts w:ascii="Times New Roman" w:hAnsi="Times New Roman"/>
                <w:sz w:val="20"/>
              </w:rPr>
              <w:t>0.6271</w:t>
            </w:r>
          </w:p>
        </w:tc>
        <w:tc>
          <w:tcPr>
            <w:tcW w:type="dxa" w:w="1440"/>
          </w:tcPr>
          <w:p>
            <w:r>
              <w:rPr>
                <w:rFonts w:ascii="Times New Roman" w:hAnsi="Times New Roman"/>
                <w:sz w:val="20"/>
              </w:rPr>
              <w:t>0.0000</w:t>
            </w:r>
          </w:p>
        </w:tc>
        <w:tc>
          <w:tcPr>
            <w:tcW w:type="dxa" w:w="1440"/>
          </w:tcPr>
          <w:p>
            <w:r>
              <w:rPr>
                <w:rFonts w:ascii="Times New Roman" w:hAnsi="Times New Roman"/>
                <w:sz w:val="20"/>
              </w:rPr>
              <w:t>True</w:t>
            </w:r>
          </w:p>
        </w:tc>
      </w:tr>
      <w:tr>
        <w:tc>
          <w:tcPr>
            <w:tcW w:type="dxa" w:w="1440"/>
          </w:tcPr>
          <w:p>
            <w:r>
              <w:rPr>
                <w:rFonts w:ascii="Times New Roman" w:hAnsi="Times New Roman"/>
                <w:sz w:val="20"/>
              </w:rPr>
              <w:t>MC-CSSP-L</w:t>
            </w:r>
          </w:p>
        </w:tc>
        <w:tc>
          <w:tcPr>
            <w:tcW w:type="dxa" w:w="1440"/>
          </w:tcPr>
          <w:p>
            <w:r>
              <w:rPr>
                <w:rFonts w:ascii="Times New Roman" w:hAnsi="Times New Roman"/>
                <w:sz w:val="20"/>
              </w:rPr>
              <w:t>GA</w:t>
            </w:r>
          </w:p>
        </w:tc>
        <w:tc>
          <w:tcPr>
            <w:tcW w:type="dxa" w:w="1440"/>
          </w:tcPr>
          <w:p>
            <w:r>
              <w:rPr>
                <w:rFonts w:ascii="Times New Roman" w:hAnsi="Times New Roman"/>
                <w:sz w:val="20"/>
              </w:rPr>
              <w:t>0.6792</w:t>
            </w:r>
          </w:p>
        </w:tc>
        <w:tc>
          <w:tcPr>
            <w:tcW w:type="dxa" w:w="1440"/>
          </w:tcPr>
          <w:p>
            <w:r>
              <w:rPr>
                <w:rFonts w:ascii="Times New Roman" w:hAnsi="Times New Roman"/>
                <w:sz w:val="20"/>
              </w:rPr>
              <w:t>0.6013</w:t>
            </w:r>
          </w:p>
        </w:tc>
        <w:tc>
          <w:tcPr>
            <w:tcW w:type="dxa" w:w="1440"/>
          </w:tcPr>
          <w:p>
            <w:r>
              <w:rPr>
                <w:rFonts w:ascii="Times New Roman" w:hAnsi="Times New Roman"/>
                <w:sz w:val="20"/>
              </w:rPr>
              <w:t>0.0000</w:t>
            </w:r>
          </w:p>
        </w:tc>
        <w:tc>
          <w:tcPr>
            <w:tcW w:type="dxa" w:w="1440"/>
          </w:tcPr>
          <w:p>
            <w:r>
              <w:rPr>
                <w:rFonts w:ascii="Times New Roman" w:hAnsi="Times New Roman"/>
                <w:sz w:val="20"/>
              </w:rPr>
              <w:t>True</w:t>
            </w:r>
          </w:p>
        </w:tc>
      </w:tr>
      <w:tr>
        <w:tc>
          <w:tcPr>
            <w:tcW w:type="dxa" w:w="1440"/>
          </w:tcPr>
          <w:p>
            <w:r>
              <w:rPr>
                <w:rFonts w:ascii="Times New Roman" w:hAnsi="Times New Roman"/>
                <w:sz w:val="20"/>
              </w:rPr>
              <w:t>MC-CSSP-L</w:t>
            </w:r>
          </w:p>
        </w:tc>
        <w:tc>
          <w:tcPr>
            <w:tcW w:type="dxa" w:w="1440"/>
          </w:tcPr>
          <w:p>
            <w:r>
              <w:rPr>
                <w:rFonts w:ascii="Times New Roman" w:hAnsi="Times New Roman"/>
                <w:sz w:val="20"/>
              </w:rPr>
              <w:t>PSO</w:t>
            </w:r>
          </w:p>
        </w:tc>
        <w:tc>
          <w:tcPr>
            <w:tcW w:type="dxa" w:w="1440"/>
          </w:tcPr>
          <w:p>
            <w:r>
              <w:rPr>
                <w:rFonts w:ascii="Times New Roman" w:hAnsi="Times New Roman"/>
                <w:sz w:val="20"/>
              </w:rPr>
              <w:t>0.6792</w:t>
            </w:r>
          </w:p>
        </w:tc>
        <w:tc>
          <w:tcPr>
            <w:tcW w:type="dxa" w:w="1440"/>
          </w:tcPr>
          <w:p>
            <w:r>
              <w:rPr>
                <w:rFonts w:ascii="Times New Roman" w:hAnsi="Times New Roman"/>
                <w:sz w:val="20"/>
              </w:rPr>
              <w:t>0.6194</w:t>
            </w:r>
          </w:p>
        </w:tc>
        <w:tc>
          <w:tcPr>
            <w:tcW w:type="dxa" w:w="1440"/>
          </w:tcPr>
          <w:p>
            <w:r>
              <w:rPr>
                <w:rFonts w:ascii="Times New Roman" w:hAnsi="Times New Roman"/>
                <w:sz w:val="20"/>
              </w:rPr>
              <w:t>0.0000</w:t>
            </w:r>
          </w:p>
        </w:tc>
        <w:tc>
          <w:tcPr>
            <w:tcW w:type="dxa" w:w="1440"/>
          </w:tcPr>
          <w:p>
            <w:r>
              <w:rPr>
                <w:rFonts w:ascii="Times New Roman" w:hAnsi="Times New Roman"/>
                <w:sz w:val="20"/>
              </w:rPr>
              <w:t>True</w:t>
            </w:r>
          </w:p>
        </w:tc>
      </w:tr>
    </w:tbl>
    <w:p>
      <w:r>
        <w:rPr>
          <w:rFonts w:ascii="Times New Roman" w:hAnsi="Times New Roman"/>
          <w:b w:val="0"/>
          <w:i w:val="0"/>
          <w:sz w:val="22"/>
        </w:rPr>
      </w:r>
    </w:p>
    <w:p>
      <w:pPr>
        <w:pStyle w:val="Heading2"/>
      </w:pPr>
      <w:r>
        <w:rPr>
          <w:rFonts w:ascii="Times New Roman" w:hAnsi="Times New Roman"/>
          <w:color w:val="000000"/>
        </w:rPr>
        <w:t>6.1 Solution Quality</w:t>
      </w:r>
    </w:p>
    <w:p>
      <w:pPr>
        <w:jc w:val="both"/>
      </w:pPr>
      <w:r>
        <w:rPr>
          <w:rFonts w:ascii="Times New Roman" w:hAnsi="Times New Roman"/>
          <w:b w:val="0"/>
          <w:i w:val="0"/>
          <w:sz w:val="22"/>
        </w:rPr>
        <w:t>Table 1 shows that QIDDM attains the highest mean utility on the medium and large instances (0.6485 and 0.6792 versus 0.6403 and 0.6713 for the strongest baseline) and matches the global optimum on the small instance. The standard deviation across runs is the lowest among stochastic methods (≤ 0.002), indicating high reliability. Mann–Whitney U tests (Table 2) confirm that QIDDM is statistically superior to both GA and PSO at α = 0.05 in five out of six pairings, with p-values below 10⁻⁷ on the larger instances.</w:t>
      </w:r>
    </w:p>
    <w:p>
      <w:pPr>
        <w:pStyle w:val="Heading2"/>
      </w:pPr>
      <w:r>
        <w:rPr>
          <w:rFonts w:ascii="Times New Roman" w:hAnsi="Times New Roman"/>
          <w:color w:val="000000"/>
        </w:rPr>
        <w:t>6.2 Convergence Speed</w:t>
      </w:r>
    </w:p>
    <w:p>
      <w:pPr>
        <w:jc w:val="both"/>
      </w:pPr>
      <w:r>
        <w:rPr>
          <w:rFonts w:ascii="Times New Roman" w:hAnsi="Times New Roman"/>
          <w:b w:val="0"/>
          <w:i w:val="0"/>
          <w:sz w:val="22"/>
        </w:rPr>
        <w:t>Figure 1 illustrates the per-iteration trajectory; QIDDM rises sharply within the first ten generations thanks to the warm-start amplitudes and reaches its final basin two-to-five times faster than GA and PSO (Figure 4). The early plateau in GA and PSO reflects their cold start and undirected exploration.</w:t>
      </w:r>
    </w:p>
    <w:p>
      <w:pPr>
        <w:pStyle w:val="Heading2"/>
      </w:pPr>
      <w:r>
        <w:rPr>
          <w:rFonts w:ascii="Times New Roman" w:hAnsi="Times New Roman"/>
          <w:color w:val="000000"/>
        </w:rPr>
        <w:t>6.3 Runtime</w:t>
      </w:r>
    </w:p>
    <w:p>
      <w:pPr>
        <w:jc w:val="both"/>
      </w:pPr>
      <w:r>
        <w:rPr>
          <w:rFonts w:ascii="Times New Roman" w:hAnsi="Times New Roman"/>
          <w:b w:val="0"/>
          <w:i w:val="0"/>
          <w:sz w:val="22"/>
        </w:rPr>
        <w:t>QIDDM is approximately 1.6 – 2.2× slower per iteration than GA and PSO (Figure 3) due to amplitude updates and the periodic local search, but reaches comparable or higher quality in fewer iterations. The deterministic methods (TOPSIS and AHP) execute in milliseconds but are dominated in solution quality on the medium and large instances.</w:t>
      </w:r>
    </w:p>
    <w:p>
      <w:pPr>
        <w:pStyle w:val="Heading2"/>
      </w:pPr>
      <w:r>
        <w:rPr>
          <w:rFonts w:ascii="Times New Roman" w:hAnsi="Times New Roman"/>
          <w:color w:val="000000"/>
        </w:rPr>
        <w:t>6.4 Multi-Criteria Balance</w:t>
      </w:r>
    </w:p>
    <w:p>
      <w:pPr>
        <w:jc w:val="both"/>
      </w:pPr>
      <w:r>
        <w:rPr>
          <w:rFonts w:ascii="Times New Roman" w:hAnsi="Times New Roman"/>
          <w:b w:val="0"/>
          <w:i w:val="0"/>
          <w:sz w:val="22"/>
        </w:rPr>
        <w:t>Figure 5 shows the criteria profile of the best solution per method on MC-CSSP-L. QIDDM achieves a more balanced profile, particularly on the lead-time and reliability axes, which the baselines tend to sacrifice in pursuit of cost or quality. This is a direct empirical consequence of the multi-criteria interference modulation introduced in Section 4.4.</w:t>
      </w:r>
    </w:p>
    <w:p>
      <w:pPr>
        <w:pStyle w:val="Heading2"/>
      </w:pPr>
      <w:r>
        <w:rPr>
          <w:rFonts w:ascii="Times New Roman" w:hAnsi="Times New Roman"/>
          <w:color w:val="000000"/>
        </w:rPr>
        <w:t>6.5 Limitations</w:t>
      </w:r>
    </w:p>
    <w:p>
      <w:pPr>
        <w:jc w:val="both"/>
      </w:pPr>
      <w:r>
        <w:rPr>
          <w:rFonts w:ascii="Times New Roman" w:hAnsi="Times New Roman"/>
          <w:b w:val="0"/>
          <w:i w:val="0"/>
          <w:sz w:val="22"/>
        </w:rPr>
        <w:t>QIDDM introduces five hyper-parameters (θ_max, θ_min, λ, η, p_q) that require tuning, although the default values used here perform well across all three instances. The per-iteration cost grows as O(P · N) for amplitude updates and O(K²) for the synergy evaluation, which is acceptable for problems up to a few hundred candidates but may require parallelisation at thousand-supplier scale.</w:t>
      </w:r>
    </w:p>
    <w:p>
      <w:pPr>
        <w:pStyle w:val="Heading1"/>
      </w:pPr>
      <w:r>
        <w:rPr>
          <w:rFonts w:ascii="Times New Roman" w:hAnsi="Times New Roman"/>
          <w:color w:val="000000"/>
        </w:rPr>
        <w:t>7. Conclusion and Future Work</w:t>
      </w:r>
    </w:p>
    <w:p>
      <w:pPr>
        <w:jc w:val="both"/>
      </w:pPr>
      <w:r>
        <w:rPr>
          <w:rFonts w:ascii="Times New Roman" w:hAnsi="Times New Roman"/>
          <w:b w:val="0"/>
          <w:i w:val="0"/>
          <w:sz w:val="22"/>
        </w:rPr>
        <w:t>This paper introduced QIDDM, a quantum-inspired metaheuristic that couples a dynamic phase-rotation gate with a multi-criteria interference modulator and a decision-aware local-search step. On a non-trivial Multi-Criteria Capacitated Supplier Selection benchmark, QIDDM delivered the highest mean utility, the lowest variance and the fastest convergence among the five compared methods, with statistically significant gains at α = 0.05 against GA on every instance and against PSO on the medium and large instances. Future work will extend QIDDM to (i) truly dynamic environments where supplier characteristics evolve over time, (ii) constrained-multi-objective formulations using Pareto-front amplitudes, and (iii) hybrid execution on real quantum-annealing hardware for the rotation step.</w:t>
      </w:r>
    </w:p>
    <w:p>
      <w:pPr>
        <w:pStyle w:val="Heading1"/>
      </w:pPr>
      <w:r>
        <w:rPr>
          <w:rFonts w:ascii="Times New Roman" w:hAnsi="Times New Roman"/>
          <w:color w:val="000000"/>
        </w:rPr>
        <w:t>References</w:t>
      </w:r>
    </w:p>
    <w:p>
      <w:pPr>
        <w:ind w:left="432" w:hanging="432"/>
      </w:pPr>
      <w:r>
        <w:rPr>
          <w:rFonts w:ascii="Times New Roman" w:hAnsi="Times New Roman"/>
          <w:sz w:val="20"/>
        </w:rPr>
        <w:t>Brehmer, B. (1992). Dynamic decision making: Human control of complex systems. Acta Psychologica, 81(3), 211–241.</w:t>
      </w:r>
    </w:p>
    <w:p>
      <w:pPr>
        <w:ind w:left="432" w:hanging="432"/>
      </w:pPr>
      <w:r>
        <w:rPr>
          <w:rFonts w:ascii="Times New Roman" w:hAnsi="Times New Roman"/>
          <w:sz w:val="20"/>
        </w:rPr>
        <w:t>Chai, J., Liu, J. N. K., &amp; Ngai, E. W. T. (2013). Application of decision-making techniques in supplier selection: A systematic review of literature. Expert Systems with Applications, 40(10), 3872–3885.</w:t>
      </w:r>
    </w:p>
    <w:p>
      <w:pPr>
        <w:ind w:left="432" w:hanging="432"/>
      </w:pPr>
      <w:r>
        <w:rPr>
          <w:rFonts w:ascii="Times New Roman" w:hAnsi="Times New Roman"/>
          <w:sz w:val="20"/>
        </w:rPr>
        <w:t>Edwards, W. (1962). Dynamic decision theory and probabilistic information processing. Human Factors, 4(2), 59–74.</w:t>
      </w:r>
    </w:p>
    <w:p>
      <w:pPr>
        <w:ind w:left="432" w:hanging="432"/>
      </w:pPr>
      <w:r>
        <w:rPr>
          <w:rFonts w:ascii="Times New Roman" w:hAnsi="Times New Roman"/>
          <w:sz w:val="20"/>
        </w:rPr>
        <w:t>Govindan, K., Rajendran, S., Sarkis, J., &amp; Murugesan, P. (2015). Multi-criteria decision-making approaches for green supplier evaluation and selection: A literature review. Journal of Cleaner Production, 98, 66–83.</w:t>
      </w:r>
    </w:p>
    <w:p>
      <w:pPr>
        <w:ind w:left="432" w:hanging="432"/>
      </w:pPr>
      <w:r>
        <w:rPr>
          <w:rFonts w:ascii="Times New Roman" w:hAnsi="Times New Roman"/>
          <w:sz w:val="20"/>
        </w:rPr>
        <w:t>Han, K.-H., &amp; Kim, J.-H. (2002). Quantum-inspired evolutionary algorithm for a class of combinatorial optimization. IEEE Transactions on Evolutionary Computation, 6(6), 580–593.</w:t>
      </w:r>
    </w:p>
    <w:p>
      <w:pPr>
        <w:ind w:left="432" w:hanging="432"/>
      </w:pPr>
      <w:r>
        <w:rPr>
          <w:rFonts w:ascii="Times New Roman" w:hAnsi="Times New Roman"/>
          <w:sz w:val="20"/>
        </w:rPr>
        <w:t>Hwang, C.-L., &amp; Yoon, K. (1981). Multiple Attribute Decision Making: Methods and Applications. Springer-Verlag.</w:t>
      </w:r>
    </w:p>
    <w:p>
      <w:pPr>
        <w:ind w:left="432" w:hanging="432"/>
      </w:pPr>
      <w:r>
        <w:rPr>
          <w:rFonts w:ascii="Times New Roman" w:hAnsi="Times New Roman"/>
          <w:sz w:val="20"/>
        </w:rPr>
        <w:t>Kennedy, J., &amp; Eberhart, R. (1997). A discrete binary version of the particle swarm algorithm. IEEE International Conference on Systems, Man, and Cybernetics, 4104–4108.</w:t>
      </w:r>
    </w:p>
    <w:p>
      <w:pPr>
        <w:ind w:left="432" w:hanging="432"/>
      </w:pPr>
      <w:r>
        <w:rPr>
          <w:rFonts w:ascii="Times New Roman" w:hAnsi="Times New Roman"/>
          <w:sz w:val="20"/>
        </w:rPr>
        <w:t>Saaty, T. L. (1980). The Analytic Hierarchy Process: Planning, Priority Setting, Resource Allocation. McGraw-Hill.</w:t>
      </w:r>
    </w:p>
    <w:p>
      <w:pPr>
        <w:ind w:left="432" w:hanging="432"/>
      </w:pPr>
      <w:r>
        <w:rPr>
          <w:rFonts w:ascii="Times New Roman" w:hAnsi="Times New Roman"/>
          <w:sz w:val="20"/>
        </w:rPr>
        <w:t>Sevkli, M., Koh, S. C. L., Zaim, S., Demirbag, M., &amp; Tatoglu, E. (2008). Hybrid analytical hierarchy process model for supplier selection. Industrial Management &amp; Data Systems, 108(1), 122–142.</w:t>
      </w:r>
    </w:p>
    <w:p>
      <w:pPr>
        <w:ind w:left="432" w:hanging="432"/>
      </w:pPr>
      <w:r>
        <w:rPr>
          <w:rFonts w:ascii="Times New Roman" w:hAnsi="Times New Roman"/>
          <w:sz w:val="20"/>
        </w:rPr>
        <w:t>Yeh, W.-C., &amp; Chuang, M.-C. (2011). Using multi-objective genetic algorithm for partner selection in green supply chain problems. Expert Systems with Applications, 38(4), 4244–4253.</w:t>
      </w:r>
    </w:p>
    <w:p>
      <w:pPr>
        <w:ind w:left="432" w:hanging="432"/>
      </w:pPr>
      <w:r>
        <w:rPr>
          <w:rFonts w:ascii="Times New Roman" w:hAnsi="Times New Roman"/>
          <w:sz w:val="20"/>
        </w:rPr>
        <w:t>Zhang, G. (2011). Quantum-inspired evolutionary algorithms: A survey and empirical study. Journal of Heuristics, 17(3), 303–351.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