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300"/>
              <w:left w:type="dxa" w:w="240"/>
              <w:bottom w:type="dxa" w:w="3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CLOUD FORENSICS INVESTIGATION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8E8"/>
                <w:sz w:val="24"/>
                <w:szCs w:val="24"/>
              </w:rPr>
              <w:t xml:space="preserve">Forensic Analysis Report</w:t>
            </w:r>
          </w:p>
        </w:tc>
      </w:tr>
    </w:tbl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CONFIDENTIAL — RESTRICTED DISTRIBUTION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Case Reference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case reference number]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Report Version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[Trainee name / team]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 of Report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Lab Environment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BTCMP-16 — Cloud Forensics Mini-Lab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INCIDENT OVERVIEW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Incident Date / Window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[Start timestamp] — [End timestamp] UTC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Detection Source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Cloud storage log export (offline analysis)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AWS Account ID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123456789012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Region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eu-west-1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MITRE ATT&amp;CK Techniques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T1530, T1567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Brief Incident Description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>Provide a 2–3 sentence summary of the incident. Describe what happened, which resource was affected, and the suspected objective of the attacker.</w:t>
          </w:r>
        </w:p>
      </w:tc>
    </w:tr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/>
          </w:r>
        </w:p>
      </w:tc>
    </w:tr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/>
          </w:r>
        </w:p>
      </w:tc>
    </w:tr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/>
          </w:r>
        </w:p>
      </w:tc>
    </w:tr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EVIDENCE EXAMINED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s3_access.log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Server Access Log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Data-plane object access events (GET, PUT, HEAD)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cloudtrail.json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CloudTrail JSON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Control/IAM-plane management events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FINDINGS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3.1  Anomalous Source IP (Flag 1)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Attacker IP Address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IP address]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 Egress Range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198.51.100.0/24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Detection Method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[Describe the command / approach used]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3.2  Compromised Identity (Flag 2)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IAM Username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username]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Access Key Used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access key ID]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Normal Activity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[Describe legitimate baseline behaviour of this account]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3.3  Reconnaissance (Flag 3)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First Malicious Event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UTC timestamp]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ListBuckets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Source IP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IP address]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Followed By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[List subsequent recon API calls and their timestamps]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3.4  Targeted Resource (Flag 4)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S3 Bucket Name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bucket name]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Sensitivity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[Describe the apparent sensitivity based on object key names]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3.5  Exfiltration Volume (Flag 5)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Objects Downloaded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count]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Operation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REST.GET.OBJECT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Time Window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[Start] — [End] UTC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3.6  Persistence Mechanism (Flag 6)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CreateAccessKey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New Access Key ID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key ID]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UTC timestamp]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Attacker retains access even if original key is rotated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ATTACK TIMELINE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4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 (UTC)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18"/>
                <w:szCs w:val="18"/>
              </w:rPr>
              <w:t xml:space="preserve">[timestamp]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[event 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18"/>
                <w:szCs w:val="18"/>
              </w:rPr>
              <w:t xml:space="preserve">[timestamp]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[event 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18"/>
                <w:szCs w:val="18"/>
              </w:rPr>
              <w:t xml:space="preserve">[timestamp]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[event 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S3 / CloudTrail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18"/>
                <w:szCs w:val="18"/>
              </w:rPr>
              <w:t xml:space="preserve">[timestamp]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[event 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S3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08080"/>
                <w:sz w:val="18"/>
                <w:szCs w:val="18"/>
              </w:rPr>
              <w:t xml:space="preserve">[timestamp]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[event name]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[notes]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>[Add or remove rows as needed. Each row should represent one discrete event in the attack chain, ordered chronologically.]</w:t>
          </w:r>
        </w:p>
      </w:tc>
    </w:tr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/>
          </w:r>
        </w:p>
      </w:tc>
    </w:tr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MITRE ATT&amp;CK MAPPING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Technique 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in This Case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T1530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from Cloud Storage Object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[Describe observed behaviour — e.g. 47 GET requests on sensitive bucket]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9"/>
                <w:sz w:val="18"/>
                <w:szCs w:val="18"/>
              </w:rPr>
              <w:t xml:space="preserve">T1567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Exfiltration Over Web Service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[Describe observed behaviour — e.g. bulk data transferred to external IP]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RECOMMENDED RESPONSE ACTIONS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 / Rationale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recommended action]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rationale]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recommended action]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rationale]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recommended action]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[Enter rationale]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ANALYST DECLARATION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Full Name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[Trainee full name]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Lab Session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BTCMP-16 — Cloud Forensics Mini-Lab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404040"/>
          <w:sz w:val="18"/>
          <w:szCs w:val="18"/>
        </w:rPr>
        <w:t xml:space="preserve">Signature: _______________________________________________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>I confirm that this report accurately represents my independent analysis of the provided evidence, conducted during the BTCMP-16 cloud forensics lab session.</w:t>
          </w:r>
        </w:p>
      </w:tc>
    </w:tr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/>
          </w:r>
        </w:p>
      </w:tc>
    </w:tr>
    <w:tr>
      <w:tc>
        <w:tcPr>
          <w:tcW w:type="dxa" w:w="9026"/>
          <w:tcBorders>
            <w:top w:val="single" w:color="BFBFBF" w:sz="4"/>
            <w:left w:val="single" w:color="BFBFBF" w:sz="4"/>
            <w:bottom w:val="single" w:color="BFBFBF" w:sz="4"/>
            <w:right w:val="single" w:color="BFBFBF" w:sz="4"/>
          </w:tcBorders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i/>
              <w:iCs/>
              <w:color w:val="808080"/>
              <w:sz w:val="18"/>
              <w:szCs w:val="18"/>
            </w:rPr>
            <w:t xml:space="preserve"/>
          </w:r>
        </w:p>
      </w:tc>
    </w:tr>
    <w:p>
      <w:pPr>
        <w:spacing w:after="0" w:before="0"/>
      </w:pPr>
      <w:r>
        <w:rPr>
          <w:sz w:val="40"/>
          <w:szCs w:val="4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6"/>
        <w:szCs w:val="16"/>
      </w:rPr>
      <w:t xml:space="preserve">Acme Corp — Incident Response  |  For training purposes only</w:t>
    </w:r>
    <w:r>
      <w:rPr>
        <w:rFonts w:ascii="Arial" w:cs="Arial" w:eastAsia="Arial" w:hAnsi="Arial"/>
        <w:color w:val="808080"/>
        <w:sz w:val="16"/>
        <w:szCs w:val="16"/>
      </w:rPr>
      <w:t xml:space="preserve">	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BTCMP-16  |  Cloud Forensics Investigation Report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2026-06-11T18:19:18.322Z</dcterms:created>
  <dcterms:modified xsi:type="dcterms:W3CDTF">2026-06-11T18:19:18.322Z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