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41 (8 fatal); crossing-relevant (On Roadway / In Crosswalk): 36 — the set used for the distance stat.</w:t>
      </w:r>
    </w:p>
    <w:p>
      <w:pPr>
        <w:pStyle w:val="ListBullet"/>
      </w:pPr>
      <w:r>
        <w:t>Along-corridor distance from a crossing-relevant crash to the nearest safe crossing: mean 152 ft, median 4 ft; 8/36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(2026-06-24):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p>
      <w:r>
        <w:br w:type="page"/>
      </w:r>
    </w:p>
    <w:p>
      <w:pPr>
        <w:pStyle w:val="Heading1"/>
      </w:pPr>
      <w:r>
        <w:t>Correction — intersection signal split (appended 2026-07-12)</w:t>
      </w:r>
    </w:p>
    <w:p>
      <w:r>
        <w:t>The Phase-3a figure "Within signal coverage: 177 crashes — at SIGNALIZED intersections 89 (50.3%), at UNSIGNALIZED 88 (49.7%)" is SUPERSEDED. It was computed on the original endpoint-snapped node set (script 21). After the intersection-node root fix (script 25: true geometric intersection, divided-carriageway merge, widened coverage rule) and crash re-attribution, the current verified figure is: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crashes at intersections outside signal coverage (301) are excluded, as before — no_signal_coverage is not "no signal." Use ~40% / ~60%, not the earlier ~50/50.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