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5B52" w14:textId="30E8C1F5" w:rsidR="00125DFE" w:rsidRPr="00847DD6" w:rsidRDefault="00125DFE" w:rsidP="00847DD6">
      <w:pPr>
        <w:spacing w:before="200" w:after="120" w:line="480" w:lineRule="auto"/>
        <w:rPr>
          <w:rFonts w:ascii="Times New Roman" w:hAnsi="Times New Roman" w:cs="Times New Roman"/>
          <w:sz w:val="44"/>
          <w:szCs w:val="44"/>
        </w:rPr>
      </w:pPr>
      <w:r w:rsidRPr="00847DD6">
        <w:rPr>
          <w:rFonts w:ascii="Times New Roman" w:hAnsi="Times New Roman" w:cs="Times New Roman"/>
          <w:sz w:val="44"/>
          <w:szCs w:val="44"/>
        </w:rPr>
        <w:t>Evaluation of Deep Learning Architectures for Predicting GPCR-Mediated Neurotoxicity</w:t>
      </w:r>
    </w:p>
    <w:p w14:paraId="08926465" w14:textId="0BBA709B" w:rsidR="00681F16" w:rsidRPr="00AF30C2" w:rsidRDefault="00125DFE" w:rsidP="00847DD6">
      <w:pPr>
        <w:spacing w:after="240" w:line="480" w:lineRule="auto"/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</w:pPr>
      <w:bookmarkStart w:id="0" w:name="_Hlk218261318"/>
      <w:r w:rsidRP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>Souvik Dey</w:t>
      </w:r>
      <w:r w:rsidRPr="00AF30C2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zh-CN"/>
        </w:rPr>
        <w:t>1,2</w:t>
      </w:r>
      <w:r w:rsidRP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 xml:space="preserve">, </w:t>
      </w:r>
      <w:r w:rsid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>Pinyi</w:t>
      </w:r>
      <w:r w:rsidR="00AF30C2" w:rsidRP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 xml:space="preserve"> </w:t>
      </w:r>
      <w:r w:rsid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>Lu</w:t>
      </w:r>
      <w:r w:rsidR="00AF30C2" w:rsidRPr="00AF30C2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zh-CN"/>
        </w:rPr>
        <w:t>1,2</w:t>
      </w:r>
      <w:r w:rsidR="00AF30C2" w:rsidRP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 xml:space="preserve">, </w:t>
      </w:r>
      <w:r w:rsidRP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>Anders Wallqvist</w:t>
      </w:r>
      <w:r w:rsidRPr="00AF30C2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zh-CN"/>
        </w:rPr>
        <w:t>1</w:t>
      </w:r>
      <w:r w:rsidRP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>*, and Mohamed Diwan M. AbdulHameed</w:t>
      </w:r>
      <w:r w:rsidRPr="00AF30C2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zh-CN"/>
        </w:rPr>
        <w:t>1,2</w:t>
      </w:r>
      <w:r w:rsidRPr="00AF30C2">
        <w:rPr>
          <w:rFonts w:ascii="Times New Roman" w:eastAsia="Times New Roman" w:hAnsi="Times New Roman" w:cs="Times New Roman"/>
          <w:i/>
          <w:sz w:val="28"/>
          <w:szCs w:val="28"/>
          <w:lang w:eastAsia="zh-CN"/>
        </w:rPr>
        <w:t>*</w:t>
      </w:r>
    </w:p>
    <w:bookmarkEnd w:id="0"/>
    <w:p w14:paraId="09637744" w14:textId="77777777" w:rsidR="00125DFE" w:rsidRPr="0087552F" w:rsidRDefault="00125DFE" w:rsidP="00125DFE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  <w:r w:rsidRPr="0087552F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zh-CN"/>
        </w:rPr>
        <w:t>1</w:t>
      </w:r>
      <w:r w:rsidRPr="0087552F">
        <w:rPr>
          <w:rFonts w:ascii="Times New Roman" w:eastAsia="Times New Roman" w:hAnsi="Times New Roman" w:cs="Times New Roman"/>
          <w:sz w:val="24"/>
          <w:szCs w:val="20"/>
          <w:lang w:eastAsia="zh-CN"/>
        </w:rPr>
        <w:t>Department of Defense Biotechnology High Performance Computing Software Applications Institute, Defense Health Agency Research &amp; Development, Medical Research and Development Command, Fort Detrick, MD, USA</w:t>
      </w:r>
    </w:p>
    <w:p w14:paraId="47E32240" w14:textId="77777777" w:rsidR="00125DFE" w:rsidRDefault="00125DFE" w:rsidP="00125DFE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  <w:r w:rsidRPr="0087552F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zh-CN"/>
        </w:rPr>
        <w:t>2</w:t>
      </w:r>
      <w:r w:rsidRPr="0087552F">
        <w:rPr>
          <w:rFonts w:ascii="Times New Roman" w:eastAsia="Times New Roman" w:hAnsi="Times New Roman" w:cs="Times New Roman"/>
          <w:sz w:val="24"/>
          <w:szCs w:val="20"/>
          <w:lang w:eastAsia="zh-CN"/>
        </w:rPr>
        <w:t>The Henry M. Jackson Foundation for the Advancement of Military Medicine, Inc., Bethesda, MD, USA</w:t>
      </w:r>
    </w:p>
    <w:p w14:paraId="36B3008A" w14:textId="77777777" w:rsidR="00681F16" w:rsidRDefault="00681F16" w:rsidP="00125DFE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06C7B1BB" w14:textId="77777777" w:rsidR="00681F16" w:rsidRPr="0087552F" w:rsidRDefault="00681F16" w:rsidP="00125DFE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6FA5D414" w14:textId="77777777" w:rsidR="00125DFE" w:rsidRPr="0087552F" w:rsidRDefault="00125DFE" w:rsidP="00125DFE">
      <w:pPr>
        <w:spacing w:line="360" w:lineRule="auto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87552F">
        <w:rPr>
          <w:rFonts w:ascii="Times New Roman" w:eastAsia="Times New Roman" w:hAnsi="Times New Roman" w:cs="Times New Roman"/>
          <w:kern w:val="2"/>
          <w:sz w:val="24"/>
          <w:szCs w:val="24"/>
        </w:rPr>
        <w:t>*Corresponding Authors:</w:t>
      </w:r>
    </w:p>
    <w:p w14:paraId="47C5F382" w14:textId="77777777" w:rsidR="00125DFE" w:rsidRPr="0087552F" w:rsidRDefault="00125DFE" w:rsidP="00125DFE">
      <w:pPr>
        <w:spacing w:after="0" w:line="240" w:lineRule="auto"/>
        <w:rPr>
          <w:rFonts w:ascii="Times" w:eastAsia="Times New Roman" w:hAnsi="Times" w:cs="Times New Roman"/>
          <w:sz w:val="24"/>
          <w:szCs w:val="20"/>
          <w:lang w:eastAsia="zh-CN"/>
        </w:rPr>
      </w:pPr>
      <w:r w:rsidRPr="0087552F">
        <w:rPr>
          <w:rFonts w:ascii="Times" w:eastAsia="Times New Roman" w:hAnsi="Times" w:cs="Times New Roman"/>
          <w:bCs/>
          <w:kern w:val="36"/>
          <w:sz w:val="24"/>
          <w:szCs w:val="20"/>
          <w:lang w:eastAsia="zh-CN"/>
        </w:rPr>
        <w:t xml:space="preserve">AW </w:t>
      </w:r>
      <w:r>
        <w:rPr>
          <w:rFonts w:ascii="Times" w:eastAsia="Times New Roman" w:hAnsi="Times" w:cs="Times New Roman"/>
          <w:bCs/>
          <w:kern w:val="36"/>
          <w:sz w:val="24"/>
          <w:szCs w:val="20"/>
          <w:lang w:eastAsia="zh-CN"/>
        </w:rPr>
        <w:t xml:space="preserve">- </w:t>
      </w:r>
      <w:r w:rsidRPr="0087552F">
        <w:rPr>
          <w:rFonts w:ascii="Times" w:eastAsia="Times New Roman" w:hAnsi="Times" w:cs="Times New Roman"/>
          <w:bCs/>
          <w:kern w:val="36"/>
          <w:sz w:val="24"/>
          <w:szCs w:val="20"/>
          <w:lang w:eastAsia="zh-CN"/>
        </w:rPr>
        <w:t xml:space="preserve">E-mail: </w:t>
      </w:r>
      <w:r w:rsidRPr="00026910">
        <w:rPr>
          <w:rFonts w:ascii="Times" w:eastAsia="Times New Roman" w:hAnsi="Times" w:cs="Times New Roman"/>
          <w:sz w:val="24"/>
          <w:szCs w:val="20"/>
        </w:rPr>
        <w:t>sven.a.wallqvist.civ@health.mil</w:t>
      </w:r>
      <w:r>
        <w:rPr>
          <w:rFonts w:ascii="Times" w:eastAsia="Times New Roman" w:hAnsi="Times" w:cs="Times New Roman"/>
          <w:sz w:val="24"/>
          <w:szCs w:val="20"/>
        </w:rPr>
        <w:t xml:space="preserve">; Telephone: </w:t>
      </w:r>
      <w:r w:rsidRPr="00F615B4">
        <w:rPr>
          <w:rFonts w:ascii="Times" w:eastAsia="Times New Roman" w:hAnsi="Times" w:cs="Times New Roman"/>
          <w:sz w:val="24"/>
          <w:szCs w:val="20"/>
        </w:rPr>
        <w:t>(301) 619-1989</w:t>
      </w:r>
    </w:p>
    <w:p w14:paraId="101B9FF7" w14:textId="77777777" w:rsidR="00125DFE" w:rsidRPr="0087552F" w:rsidRDefault="00125DFE" w:rsidP="00125DFE">
      <w:pPr>
        <w:spacing w:line="360" w:lineRule="auto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87552F"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MDMA </w:t>
      </w:r>
      <w:r>
        <w:rPr>
          <w:rFonts w:ascii="Times New Roman" w:eastAsia="Times New Roman" w:hAnsi="Times New Roman" w:cs="Times New Roman"/>
          <w:kern w:val="2"/>
          <w:sz w:val="24"/>
          <w:szCs w:val="24"/>
        </w:rPr>
        <w:t xml:space="preserve">- </w:t>
      </w:r>
      <w:r w:rsidRPr="0087552F">
        <w:rPr>
          <w:rFonts w:ascii="Times New Roman" w:eastAsia="Calibri" w:hAnsi="Times New Roman" w:cs="Times New Roman"/>
          <w:bCs/>
          <w:kern w:val="36"/>
          <w:sz w:val="24"/>
          <w:szCs w:val="24"/>
          <w:lang w:eastAsia="zh-CN"/>
        </w:rPr>
        <w:t xml:space="preserve">E-mail: </w:t>
      </w:r>
      <w:r w:rsidRPr="00026910">
        <w:rPr>
          <w:rFonts w:ascii="Times New Roman" w:eastAsia="Calibri" w:hAnsi="Times New Roman" w:cs="Times New Roman"/>
          <w:bCs/>
          <w:kern w:val="36"/>
          <w:sz w:val="24"/>
          <w:szCs w:val="24"/>
          <w:lang w:eastAsia="zh-CN"/>
        </w:rPr>
        <w:t>mabdulhameed@bhsai.org</w:t>
      </w:r>
      <w:r>
        <w:rPr>
          <w:rFonts w:ascii="Times New Roman" w:eastAsia="Calibri" w:hAnsi="Times New Roman" w:cs="Times New Roman"/>
          <w:bCs/>
          <w:kern w:val="36"/>
          <w:sz w:val="24"/>
          <w:szCs w:val="24"/>
          <w:lang w:eastAsia="zh-CN"/>
        </w:rPr>
        <w:t xml:space="preserve">; </w:t>
      </w:r>
      <w:r w:rsidRPr="00F615B4">
        <w:rPr>
          <w:rFonts w:ascii="Times New Roman" w:eastAsia="Calibri" w:hAnsi="Times New Roman" w:cs="Times New Roman"/>
          <w:bCs/>
          <w:kern w:val="36"/>
          <w:sz w:val="24"/>
          <w:szCs w:val="24"/>
          <w:lang w:eastAsia="zh-CN"/>
        </w:rPr>
        <w:t>Tel</w:t>
      </w:r>
      <w:r>
        <w:rPr>
          <w:rFonts w:ascii="Times New Roman" w:eastAsia="Calibri" w:hAnsi="Times New Roman" w:cs="Times New Roman"/>
          <w:bCs/>
          <w:kern w:val="36"/>
          <w:sz w:val="24"/>
          <w:szCs w:val="24"/>
          <w:lang w:eastAsia="zh-CN"/>
        </w:rPr>
        <w:t>ephone</w:t>
      </w:r>
      <w:r w:rsidRPr="00F615B4">
        <w:rPr>
          <w:rFonts w:ascii="Times New Roman" w:eastAsia="Calibri" w:hAnsi="Times New Roman" w:cs="Times New Roman"/>
          <w:bCs/>
          <w:kern w:val="36"/>
          <w:sz w:val="24"/>
          <w:szCs w:val="24"/>
          <w:lang w:eastAsia="zh-CN"/>
        </w:rPr>
        <w:t>: (301) 619-1974</w:t>
      </w:r>
    </w:p>
    <w:p w14:paraId="0ED48320" w14:textId="77777777" w:rsidR="00125DFE" w:rsidRPr="0087552F" w:rsidRDefault="00125DFE" w:rsidP="00125DFE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87552F">
        <w:rPr>
          <w:rFonts w:ascii="Times New Roman" w:eastAsia="Calibri" w:hAnsi="Times New Roman" w:cs="Times New Roman"/>
          <w:sz w:val="24"/>
          <w:szCs w:val="24"/>
        </w:rPr>
        <w:t>DoD Biotechnology High Performance Computing Software Applications Institute</w:t>
      </w:r>
    </w:p>
    <w:p w14:paraId="09B7258A" w14:textId="77777777" w:rsidR="00125DFE" w:rsidRPr="0087552F" w:rsidRDefault="00125DFE" w:rsidP="00125DFE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87552F">
        <w:rPr>
          <w:rFonts w:ascii="Times New Roman" w:eastAsia="Calibri" w:hAnsi="Times New Roman" w:cs="Times New Roman"/>
          <w:sz w:val="24"/>
          <w:szCs w:val="24"/>
        </w:rPr>
        <w:t>Defense Health Agency Research &amp; Development</w:t>
      </w:r>
    </w:p>
    <w:p w14:paraId="5227DA7A" w14:textId="77777777" w:rsidR="00125DFE" w:rsidRPr="0087552F" w:rsidRDefault="00125DFE" w:rsidP="00125DFE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87552F">
        <w:rPr>
          <w:rFonts w:ascii="Times New Roman" w:eastAsia="Calibri" w:hAnsi="Times New Roman" w:cs="Times New Roman"/>
          <w:sz w:val="24"/>
          <w:szCs w:val="24"/>
        </w:rPr>
        <w:t>Medical Research and Development Command</w:t>
      </w:r>
    </w:p>
    <w:p w14:paraId="5DF54EC3" w14:textId="77777777" w:rsidR="00125DFE" w:rsidRPr="0087552F" w:rsidRDefault="00125DFE" w:rsidP="00125DFE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87552F">
        <w:rPr>
          <w:rFonts w:ascii="Times New Roman" w:eastAsia="Calibri" w:hAnsi="Times New Roman" w:cs="Times New Roman"/>
          <w:sz w:val="24"/>
          <w:szCs w:val="24"/>
        </w:rPr>
        <w:t>ATTN: FCMR-TT, 504 Scott Street</w:t>
      </w:r>
    </w:p>
    <w:p w14:paraId="26DB83E1" w14:textId="77777777" w:rsidR="00125DFE" w:rsidRPr="0087552F" w:rsidRDefault="00125DFE" w:rsidP="00125DFE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87552F">
        <w:rPr>
          <w:rFonts w:ascii="Times New Roman" w:eastAsia="Calibri" w:hAnsi="Times New Roman" w:cs="Times New Roman"/>
          <w:sz w:val="24"/>
          <w:szCs w:val="24"/>
        </w:rPr>
        <w:t>Fort Detrick, MD 21702-5012</w:t>
      </w:r>
    </w:p>
    <w:p w14:paraId="4E5F1DF0" w14:textId="77777777" w:rsidR="00125DFE" w:rsidRDefault="00125DFE" w:rsidP="00125DFE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AC51BF5" w14:textId="58429EC8" w:rsidR="007E6651" w:rsidRDefault="002B012E" w:rsidP="002B012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A2A5A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 Material</w:t>
      </w:r>
    </w:p>
    <w:p w14:paraId="6381B9A0" w14:textId="77777777" w:rsidR="007E6651" w:rsidRDefault="007E6651" w:rsidP="002B012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66086D" w14:textId="77777777" w:rsidR="007E6651" w:rsidRPr="00847DD6" w:rsidRDefault="007E6651" w:rsidP="007E66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47DD6">
        <w:rPr>
          <w:rFonts w:ascii="Times New Roman" w:hAnsi="Times New Roman" w:cs="Times New Roman"/>
          <w:b/>
          <w:bCs/>
          <w:sz w:val="24"/>
          <w:szCs w:val="24"/>
        </w:rPr>
        <w:t>Table S1.</w:t>
      </w:r>
      <w:r w:rsidRPr="00847DD6">
        <w:rPr>
          <w:rFonts w:ascii="Times New Roman" w:hAnsi="Times New Roman" w:cs="Times New Roman"/>
          <w:sz w:val="24"/>
          <w:szCs w:val="24"/>
        </w:rPr>
        <w:t xml:space="preserve"> Details of the proteins on the unseen proteins test set</w:t>
      </w:r>
    </w:p>
    <w:tbl>
      <w:tblPr>
        <w:tblW w:w="92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24"/>
        <w:gridCol w:w="1389"/>
        <w:gridCol w:w="4674"/>
        <w:gridCol w:w="1673"/>
      </w:tblGrid>
      <w:tr w:rsidR="007E6651" w:rsidRPr="003D6A3B" w14:paraId="542CF98A" w14:textId="77777777" w:rsidTr="002A4CA5">
        <w:trPr>
          <w:trHeight w:val="546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265E089A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 xml:space="preserve">Gene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n</w:t>
            </w: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ames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007CCEF8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UniProt ID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4F1CBD76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Protein names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1C9D28A5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sz w:val="24"/>
                <w:szCs w:val="24"/>
              </w:rPr>
              <w:t>GPCR family</w:t>
            </w:r>
          </w:p>
        </w:tc>
      </w:tr>
      <w:tr w:rsidR="007E6651" w:rsidRPr="003D6A3B" w14:paraId="56E8286B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6DF46E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NTSR2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46FCE0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O95665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5FD9D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Neurotensin receptor type 2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34FD59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A</w:t>
            </w:r>
          </w:p>
        </w:tc>
      </w:tr>
      <w:tr w:rsidR="007E6651" w:rsidRPr="003D6A3B" w14:paraId="1D3A2DE3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637461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LHCGR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74691B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P22888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F10FAB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Lutropin-choriogonadotropic hormone receptor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F2EB50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A</w:t>
            </w:r>
          </w:p>
        </w:tc>
      </w:tr>
      <w:tr w:rsidR="007E6651" w:rsidRPr="003D6A3B" w14:paraId="331988DF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FF1E6D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HCRTR1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F27F1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O43613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EC3B6A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Orexin/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h</w:t>
            </w: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ypocretin receptor type 1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B03CCD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A</w:t>
            </w:r>
          </w:p>
        </w:tc>
      </w:tr>
      <w:tr w:rsidR="007E6651" w:rsidRPr="003D6A3B" w14:paraId="3D8D2314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4AB59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P2RY1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4E7B74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P47900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E2F05F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P2Y purinoceptor 1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2C678B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A</w:t>
            </w:r>
          </w:p>
        </w:tc>
      </w:tr>
      <w:tr w:rsidR="007E6651" w:rsidRPr="003D6A3B" w14:paraId="49F98B75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877919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GRM3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3DB52E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Q14832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5CA4A3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Metabotropic glutamate receptor 3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24F5E0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C</w:t>
            </w:r>
          </w:p>
        </w:tc>
      </w:tr>
      <w:tr w:rsidR="007E6651" w:rsidRPr="003D6A3B" w14:paraId="77B2924B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7F5BA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HTR1E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4A9B7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P28566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3AF53A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5-</w:t>
            </w: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H</w:t>
            </w: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ydroxytryptamine receptor 1E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DE997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A</w:t>
            </w:r>
          </w:p>
        </w:tc>
      </w:tr>
      <w:tr w:rsidR="007E6651" w:rsidRPr="003D6A3B" w14:paraId="38943391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A33146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OPRD1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A5FECE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P41143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2CFD67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Delta-type opioid receptor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0226B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A</w:t>
            </w:r>
          </w:p>
        </w:tc>
      </w:tr>
      <w:tr w:rsidR="007E6651" w:rsidRPr="003D6A3B" w14:paraId="0DB0D8C7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8B0989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NTSR1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F987A9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P30989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D655C2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Neurotensin receptor type 1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A4B49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A</w:t>
            </w:r>
          </w:p>
        </w:tc>
      </w:tr>
      <w:tr w:rsidR="007E6651" w:rsidRPr="003D6A3B" w14:paraId="25123230" w14:textId="77777777" w:rsidTr="002A4CA5">
        <w:trPr>
          <w:trHeight w:val="437"/>
        </w:trPr>
        <w:tc>
          <w:tcPr>
            <w:tcW w:w="15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790E8D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CHRM4</w:t>
            </w:r>
          </w:p>
        </w:tc>
        <w:tc>
          <w:tcPr>
            <w:tcW w:w="13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302345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P08173</w:t>
            </w:r>
          </w:p>
        </w:tc>
        <w:tc>
          <w:tcPr>
            <w:tcW w:w="4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C5E50F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Muscarinic acetylcholine receptor M4</w:t>
            </w: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F145DE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A</w:t>
            </w:r>
          </w:p>
        </w:tc>
      </w:tr>
    </w:tbl>
    <w:p w14:paraId="461C1B6D" w14:textId="77777777" w:rsidR="007E6651" w:rsidRDefault="007E6651" w:rsidP="007E6651">
      <w:pPr>
        <w:rPr>
          <w:rFonts w:ascii="Times New Roman" w:hAnsi="Times New Roman" w:cs="Times New Roman"/>
        </w:rPr>
      </w:pPr>
    </w:p>
    <w:p w14:paraId="3F550315" w14:textId="77777777" w:rsidR="007E6651" w:rsidRPr="00847DD6" w:rsidRDefault="007E6651" w:rsidP="007E6651">
      <w:pPr>
        <w:spacing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B641857" w14:textId="77777777" w:rsidR="007E6651" w:rsidRPr="00847DD6" w:rsidRDefault="007E6651" w:rsidP="007E66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47DD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S2.</w:t>
      </w:r>
      <w:r w:rsidRPr="00847DD6">
        <w:rPr>
          <w:rFonts w:ascii="Times New Roman" w:hAnsi="Times New Roman" w:cs="Times New Roman"/>
          <w:sz w:val="24"/>
          <w:szCs w:val="24"/>
        </w:rPr>
        <w:t xml:space="preserve"> Performance metrics for the seven models for the off-target profiling task </w:t>
      </w:r>
    </w:p>
    <w:tbl>
      <w:tblPr>
        <w:tblW w:w="97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80"/>
        <w:gridCol w:w="1540"/>
        <w:gridCol w:w="1540"/>
        <w:gridCol w:w="1560"/>
        <w:gridCol w:w="1540"/>
        <w:gridCol w:w="1580"/>
      </w:tblGrid>
      <w:tr w:rsidR="007E6651" w:rsidRPr="003D6A3B" w14:paraId="649CF053" w14:textId="77777777" w:rsidTr="002A4CA5">
        <w:trPr>
          <w:trHeight w:val="54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0A06A809" w14:textId="77777777" w:rsidR="007E6651" w:rsidRPr="003D6A3B" w:rsidRDefault="007E6651" w:rsidP="002A4C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Model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3C69205C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Accuracy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280B4104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Sensitivity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52C9F6E4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Specificity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29116AC3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MCC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1C397DD4" w14:textId="77777777" w:rsidR="007E6651" w:rsidRPr="003D6A3B" w:rsidRDefault="007E6651" w:rsidP="002A4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</w:rPr>
              <w:t>AUROC</w:t>
            </w:r>
          </w:p>
        </w:tc>
      </w:tr>
      <w:tr w:rsidR="007E6651" w:rsidRPr="003D6A3B" w14:paraId="062524E4" w14:textId="77777777" w:rsidTr="002A4CA5">
        <w:trPr>
          <w:trHeight w:val="437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73BC96D6" w14:textId="77777777" w:rsidR="007E6651" w:rsidRPr="003D6A3B" w:rsidRDefault="007E6651" w:rsidP="002A4C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CosSim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F3852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0.785 ± 0.018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481B49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0.374 ± 0.025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4B8B7F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0.912 ± 0.025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336804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0.338 ± 0.041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2A5C56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hAnsi="Times New Roman" w:cs="Times New Roman"/>
                <w:sz w:val="24"/>
                <w:szCs w:val="24"/>
              </w:rPr>
              <w:t>0.640 ± 0.012</w:t>
            </w:r>
          </w:p>
        </w:tc>
      </w:tr>
      <w:tr w:rsidR="007E6651" w:rsidRPr="003D6A3B" w14:paraId="4EBC336F" w14:textId="77777777" w:rsidTr="002A4CA5">
        <w:trPr>
          <w:trHeight w:val="437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5A04E38B" w14:textId="77777777" w:rsidR="007E6651" w:rsidRPr="003D6A3B" w:rsidRDefault="007E6651" w:rsidP="002A4C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Transformers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9A257D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0.744 ± 0.017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9CE5A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0.472 ± 0.053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232F2E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0.827 ± 0.021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D5C6AF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0.296 ± 0.048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3412A6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hAnsi="Times New Roman" w:cs="Times New Roman"/>
                <w:sz w:val="24"/>
                <w:szCs w:val="24"/>
              </w:rPr>
              <w:t>0.632 ± 0.013</w:t>
            </w:r>
          </w:p>
        </w:tc>
      </w:tr>
      <w:tr w:rsidR="007E6651" w:rsidRPr="003D6A3B" w14:paraId="05446D77" w14:textId="77777777" w:rsidTr="002A4CA5">
        <w:trPr>
          <w:trHeight w:val="437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250E0DF4" w14:textId="77777777" w:rsidR="007E6651" w:rsidRPr="003D6A3B" w:rsidRDefault="007E6651" w:rsidP="002A4C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CA-Base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3A214F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0.795 ± 0.010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1C9B1A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0.494 ± 0.041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77389E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0.888 ± 0.018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C3EF20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0.403 ± 0.029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B95D7C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hAnsi="Times New Roman" w:cs="Times New Roman"/>
                <w:sz w:val="24"/>
                <w:szCs w:val="24"/>
              </w:rPr>
              <w:t>0.714 ± 0.017</w:t>
            </w:r>
          </w:p>
        </w:tc>
      </w:tr>
      <w:tr w:rsidR="007E6651" w:rsidRPr="003D6A3B" w14:paraId="43F810DB" w14:textId="77777777" w:rsidTr="002A4CA5">
        <w:trPr>
          <w:trHeight w:val="437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2D2814D2" w14:textId="77777777" w:rsidR="007E6651" w:rsidRPr="003D6A3B" w:rsidRDefault="007E6651" w:rsidP="002A4C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CA-Lig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B384AB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0.794 ± 0.021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F57FCC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0.506 ± 0.037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346956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0.882 ± 0.024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B9D2E0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0.407 ± 0.051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DBA28E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hAnsi="Times New Roman" w:cs="Times New Roman"/>
                <w:sz w:val="24"/>
                <w:szCs w:val="24"/>
              </w:rPr>
              <w:t>0.698 ± 0.014</w:t>
            </w:r>
          </w:p>
        </w:tc>
      </w:tr>
      <w:tr w:rsidR="007E6651" w:rsidRPr="003D6A3B" w14:paraId="69280A3E" w14:textId="77777777" w:rsidTr="002A4CA5">
        <w:trPr>
          <w:trHeight w:val="437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1EAB7149" w14:textId="77777777" w:rsidR="007E6651" w:rsidRPr="003D6A3B" w:rsidRDefault="007E6651" w:rsidP="002A4C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CA-Prot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25BB30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0.670 ± 0.028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8AE6B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0.331 ± 0.102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C20938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0.774 ± 0.064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E8843B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0.103 ± 0.040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25B1EF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hAnsi="Times New Roman" w:cs="Times New Roman"/>
                <w:sz w:val="24"/>
                <w:szCs w:val="24"/>
              </w:rPr>
              <w:t>0.553 ± 0.025</w:t>
            </w:r>
          </w:p>
        </w:tc>
      </w:tr>
      <w:tr w:rsidR="007E6651" w:rsidRPr="003D6A3B" w14:paraId="15D47949" w14:textId="77777777" w:rsidTr="002A4CA5">
        <w:trPr>
          <w:trHeight w:val="437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401DE65B" w14:textId="77777777" w:rsidR="007E6651" w:rsidRPr="003D6A3B" w:rsidRDefault="007E6651" w:rsidP="002A4C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CA-Full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1B183C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0.709 ± 0.009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7D9434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0.410 ± 0.044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AB8A00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0.802 ± 0.025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D9E630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0.208 ± 0.014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607E27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hAnsi="Times New Roman" w:cs="Times New Roman"/>
                <w:sz w:val="24"/>
                <w:szCs w:val="24"/>
              </w:rPr>
              <w:t>0.606 ± 0.010</w:t>
            </w:r>
          </w:p>
        </w:tc>
      </w:tr>
      <w:tr w:rsidR="007E6651" w:rsidRPr="003D6A3B" w14:paraId="04711F6B" w14:textId="77777777" w:rsidTr="002A4CA5">
        <w:trPr>
          <w:trHeight w:val="437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3D9434" w14:textId="77777777" w:rsidR="007E6651" w:rsidRPr="003D6A3B" w:rsidRDefault="007E6651" w:rsidP="002A4C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XGB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6B4896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0.754 ± 0.014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CC7715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0.353 ± 0.031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01639B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0.878 ± 0.013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56F843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</w:rPr>
              <w:t>0.257 ± 0.042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7F2312" w14:textId="77777777" w:rsidR="007E6651" w:rsidRPr="003D6A3B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6A3B">
              <w:rPr>
                <w:rFonts w:ascii="Times New Roman" w:hAnsi="Times New Roman" w:cs="Times New Roman"/>
                <w:sz w:val="24"/>
                <w:szCs w:val="24"/>
              </w:rPr>
              <w:t>0.623 ± 0.011</w:t>
            </w:r>
          </w:p>
        </w:tc>
      </w:tr>
    </w:tbl>
    <w:p w14:paraId="02CEEFFE" w14:textId="77777777" w:rsidR="007E6651" w:rsidRPr="00847DD6" w:rsidRDefault="007E6651" w:rsidP="007E6651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847DD6">
        <w:rPr>
          <w:rFonts w:ascii="Times New Roman" w:hAnsi="Times New Roman" w:cs="Times New Roman"/>
          <w:sz w:val="24"/>
          <w:szCs w:val="24"/>
        </w:rPr>
        <w:t>MCC: Matthews correlation coefficient; AUROC: area under the receiver operating characteristic curve; CosSim: dual-projection cosine similarity networks; CA-Base: bidirectional cross-attention with frozen protein and ligand encoders; CA-Lig: fine-tuned ligand encoders; CA-Prot: fine-tuned protein encoders; CA-Full: fine-tuned ligand and protein encoders; XGB: XGBoost.</w:t>
      </w:r>
    </w:p>
    <w:p w14:paraId="57D98584" w14:textId="77777777" w:rsidR="007E6651" w:rsidRDefault="007E6651" w:rsidP="007E6651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E3F32B" w14:textId="77777777" w:rsidR="007E6651" w:rsidRPr="00847DD6" w:rsidRDefault="007E6651" w:rsidP="007E665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47DD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S3.</w:t>
      </w:r>
      <w:r w:rsidRPr="00847DD6">
        <w:rPr>
          <w:rFonts w:ascii="Times New Roman" w:hAnsi="Times New Roman" w:cs="Times New Roman"/>
          <w:sz w:val="24"/>
          <w:szCs w:val="24"/>
        </w:rPr>
        <w:t xml:space="preserve"> Individual performance metrics for all the proteins in the test set (unseen proteins) during an individual run of the CA-Base model</w:t>
      </w:r>
    </w:p>
    <w:tbl>
      <w:tblPr>
        <w:tblW w:w="101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17"/>
        <w:gridCol w:w="893"/>
        <w:gridCol w:w="1143"/>
        <w:gridCol w:w="935"/>
        <w:gridCol w:w="971"/>
        <w:gridCol w:w="1112"/>
        <w:gridCol w:w="1198"/>
        <w:gridCol w:w="1198"/>
        <w:gridCol w:w="746"/>
        <w:gridCol w:w="1027"/>
      </w:tblGrid>
      <w:tr w:rsidR="007E6651" w:rsidRPr="00946FE1" w14:paraId="1852DF2A" w14:textId="77777777" w:rsidTr="002A4CA5">
        <w:trPr>
          <w:trHeight w:val="8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19F49DC7" w14:textId="77777777" w:rsidR="007E6651" w:rsidRPr="00946FE1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Protein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58559702" w14:textId="77777777" w:rsidR="007E6651" w:rsidRPr="00946FE1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No.</w:t>
            </w: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 xml:space="preserve"> of ligands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8F1F03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% of a</w:t>
            </w: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 xml:space="preserve">ctive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interactions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A59686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Ligand similarity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8C63C1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Label difference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36DBAB1F" w14:textId="77777777" w:rsidR="007E6651" w:rsidRPr="00946FE1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Accuracy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24408D18" w14:textId="77777777" w:rsidR="007E6651" w:rsidRPr="00946FE1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Sensitivity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5B719A79" w14:textId="77777777" w:rsidR="007E6651" w:rsidRPr="00946FE1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Specificity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303FFC1C" w14:textId="77777777" w:rsidR="007E6651" w:rsidRPr="00946FE1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MCC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  <w:hideMark/>
          </w:tcPr>
          <w:p w14:paraId="21B78415" w14:textId="77777777" w:rsidR="007E6651" w:rsidRPr="00946FE1" w:rsidRDefault="007E6651" w:rsidP="002A4CA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</w:rPr>
              <w:t>AUROC</w:t>
            </w:r>
          </w:p>
        </w:tc>
      </w:tr>
      <w:tr w:rsidR="007E6651" w:rsidRPr="00946FE1" w14:paraId="0D5A03CC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481750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NTR2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B335B8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154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20D5F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0.76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BE5EB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458767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682ED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0.269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DADA2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0.043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F10741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0.984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B01BB5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0.041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23D97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0.513</w:t>
            </w:r>
          </w:p>
        </w:tc>
      </w:tr>
      <w:tr w:rsidR="007E6651" w:rsidRPr="00946FE1" w14:paraId="6EF910F1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50559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LSHR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F16432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9D84D0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FD17A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8201EA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906571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908E6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0.020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B48E10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1.000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BAEAE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0.057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D3949D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0.510</w:t>
            </w:r>
          </w:p>
        </w:tc>
      </w:tr>
      <w:tr w:rsidR="007E6651" w:rsidRPr="00946FE1" w14:paraId="5A72C955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0BD972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OX1R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A1D9D5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6153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2E9E0B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71C16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0.658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16134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0.483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EDF909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77A63D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312F1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0.716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7DF98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0.073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798F1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0.533</w:t>
            </w:r>
          </w:p>
        </w:tc>
      </w:tr>
      <w:tr w:rsidR="007E6651" w:rsidRPr="00946FE1" w14:paraId="1DB45699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A29E45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P2RY1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9E6F1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797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19B8A0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CCB8B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D69E6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0.665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883E38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0.454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C7D1E5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0.296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CC191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0.802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EAFAC5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0.102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A31DA0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0.549</w:t>
            </w:r>
          </w:p>
        </w:tc>
      </w:tr>
      <w:tr w:rsidR="007E6651" w:rsidRPr="00946FE1" w14:paraId="51139381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6AEC66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GRM3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FBBD19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160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926330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F412FD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8932C7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0.274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6DBEFB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0.718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447B7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0.170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42338A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0.945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C019C3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0.176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A92596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0.558</w:t>
            </w:r>
          </w:p>
        </w:tc>
      </w:tr>
      <w:tr w:rsidR="007E6651" w:rsidRPr="00946FE1" w14:paraId="5E2DA4ED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0E958D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</w:rPr>
              <w:t>5-HT</w:t>
            </w: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1E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8C37CA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44F3B5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4650DA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989CD3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C53E7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0.837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FB3AB8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08819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0.851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60EC33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0.230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525903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0.701</w:t>
            </w:r>
          </w:p>
        </w:tc>
      </w:tr>
      <w:tr w:rsidR="007E6651" w:rsidRPr="00946FE1" w14:paraId="5D275CE8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1CF3F6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OPRD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C7F25F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4989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A9DD5B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9DEAC3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0.634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441AA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C01E9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0.664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63369D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330D4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0.725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909037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0.300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F975C1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0.647</w:t>
            </w:r>
          </w:p>
        </w:tc>
      </w:tr>
      <w:tr w:rsidR="007E6651" w:rsidRPr="00946FE1" w14:paraId="507DF150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240A6B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NTR1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B0986A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570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D409C8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87E70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0.422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B6687B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0.413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D3235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0.730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FF360B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C90662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0.816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06B4E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0.408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56801F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0.696</w:t>
            </w:r>
          </w:p>
        </w:tc>
      </w:tr>
      <w:tr w:rsidR="007E6651" w:rsidRPr="00946FE1" w14:paraId="13964DE3" w14:textId="77777777" w:rsidTr="002A4CA5">
        <w:trPr>
          <w:trHeight w:val="4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9F71EB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ACM4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E1EE68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1417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83E1CC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7A3D08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0.567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84215D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00D53D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14095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0.460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17492E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0.931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5F3444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0.465</w:t>
            </w:r>
          </w:p>
        </w:tc>
        <w:tc>
          <w:tcPr>
            <w:tcW w:w="1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64E447" w14:textId="77777777" w:rsidR="007E6651" w:rsidRPr="00946FE1" w:rsidRDefault="007E6651" w:rsidP="002A4CA5">
            <w:pPr>
              <w:spacing w:after="0" w:line="240" w:lineRule="auto"/>
              <w:jc w:val="center"/>
              <w:textAlignment w:val="bottom"/>
              <w:rPr>
                <w:rFonts w:ascii="Arial" w:eastAsia="Times New Roman" w:hAnsi="Arial" w:cs="Arial"/>
                <w:sz w:val="36"/>
                <w:szCs w:val="36"/>
              </w:rPr>
            </w:pPr>
            <w:r w:rsidRPr="00946FE1">
              <w:rPr>
                <w:rFonts w:ascii="Times New Roman" w:eastAsia="Times New Roman" w:hAnsi="Times New Roman" w:cs="Times New Roman"/>
                <w:color w:val="000000"/>
                <w:kern w:val="24"/>
              </w:rPr>
              <w:t>0.695</w:t>
            </w:r>
          </w:p>
        </w:tc>
      </w:tr>
    </w:tbl>
    <w:p w14:paraId="0836CBFE" w14:textId="77777777" w:rsidR="007E6651" w:rsidRDefault="007E6651" w:rsidP="007E6651">
      <w:pPr>
        <w:spacing w:before="120" w:after="0" w:line="278" w:lineRule="auto"/>
        <w:rPr>
          <w:rFonts w:ascii="Times New Roman" w:hAnsi="Times New Roman" w:cs="Times New Roman"/>
          <w:sz w:val="24"/>
          <w:szCs w:val="24"/>
        </w:rPr>
      </w:pPr>
      <w:r w:rsidRPr="00F40FFD">
        <w:rPr>
          <w:rFonts w:ascii="Times New Roman" w:hAnsi="Times New Roman" w:cs="Times New Roman"/>
          <w:sz w:val="24"/>
          <w:szCs w:val="24"/>
        </w:rPr>
        <w:t>MCC: Matthews correlation coefficient; AUROC: area under the receiver operating characteristic curve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D2507A" w14:textId="77777777" w:rsidR="007E6651" w:rsidRDefault="007E6651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2C946F1" w14:textId="3D70D7F3" w:rsidR="007A2A5A" w:rsidRPr="00847DD6" w:rsidRDefault="00DB3EDD" w:rsidP="007A2A5A">
      <w:pPr>
        <w:spacing w:afterLines="40" w:after="96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2DB792A" wp14:editId="59648FD3">
            <wp:extent cx="6317615" cy="2524824"/>
            <wp:effectExtent l="0" t="0" r="6985" b="8890"/>
            <wp:docPr id="102552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1" cy="2525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A2A5A" w:rsidRPr="00847DD6">
        <w:rPr>
          <w:rFonts w:ascii="Times New Roman" w:hAnsi="Times New Roman" w:cs="Times New Roman"/>
          <w:b/>
          <w:bCs/>
          <w:sz w:val="24"/>
          <w:szCs w:val="24"/>
        </w:rPr>
        <w:t>Figure S1.</w:t>
      </w:r>
      <w:r w:rsidR="007A2A5A" w:rsidRPr="00847DD6">
        <w:rPr>
          <w:rFonts w:ascii="Times New Roman" w:hAnsi="Times New Roman" w:cs="Times New Roman"/>
          <w:sz w:val="24"/>
          <w:szCs w:val="24"/>
        </w:rPr>
        <w:t xml:space="preserve"> Distribution of the Tanimoto similarity calculated using 2</w:t>
      </w:r>
      <w:r w:rsidR="00D05057" w:rsidRPr="00847DD6">
        <w:rPr>
          <w:rFonts w:ascii="Times New Roman" w:hAnsi="Times New Roman" w:cs="Times New Roman"/>
          <w:sz w:val="24"/>
          <w:szCs w:val="24"/>
        </w:rPr>
        <w:t>,</w:t>
      </w:r>
      <w:r w:rsidR="007A2A5A" w:rsidRPr="00847DD6">
        <w:rPr>
          <w:rFonts w:ascii="Times New Roman" w:hAnsi="Times New Roman" w:cs="Times New Roman"/>
          <w:sz w:val="24"/>
          <w:szCs w:val="24"/>
        </w:rPr>
        <w:t xml:space="preserve">048-bit Morgan </w:t>
      </w:r>
      <w:r w:rsidR="00D05057" w:rsidRPr="00847DD6">
        <w:rPr>
          <w:rFonts w:ascii="Times New Roman" w:hAnsi="Times New Roman" w:cs="Times New Roman"/>
          <w:sz w:val="24"/>
          <w:szCs w:val="24"/>
        </w:rPr>
        <w:t>f</w:t>
      </w:r>
      <w:r w:rsidR="007A2A5A" w:rsidRPr="00847DD6">
        <w:rPr>
          <w:rFonts w:ascii="Times New Roman" w:hAnsi="Times New Roman" w:cs="Times New Roman"/>
          <w:sz w:val="24"/>
          <w:szCs w:val="24"/>
        </w:rPr>
        <w:t xml:space="preserve">ingerprints </w:t>
      </w:r>
      <w:r w:rsidR="00D05057" w:rsidRPr="00847DD6">
        <w:rPr>
          <w:rFonts w:ascii="Times New Roman" w:hAnsi="Times New Roman" w:cs="Times New Roman"/>
          <w:sz w:val="24"/>
          <w:szCs w:val="24"/>
        </w:rPr>
        <w:t xml:space="preserve">(FPs) </w:t>
      </w:r>
      <w:r w:rsidR="007A2A5A" w:rsidRPr="00847DD6">
        <w:rPr>
          <w:rFonts w:ascii="Times New Roman" w:hAnsi="Times New Roman" w:cs="Times New Roman"/>
          <w:sz w:val="24"/>
          <w:szCs w:val="24"/>
        </w:rPr>
        <w:t xml:space="preserve">among the compounds in </w:t>
      </w:r>
      <w:r w:rsidR="00D05057" w:rsidRPr="00847DD6">
        <w:rPr>
          <w:rFonts w:ascii="Times New Roman" w:hAnsi="Times New Roman" w:cs="Times New Roman"/>
          <w:sz w:val="24"/>
          <w:szCs w:val="24"/>
        </w:rPr>
        <w:t xml:space="preserve">the </w:t>
      </w:r>
      <w:r w:rsidR="007A2A5A" w:rsidRPr="00847DD6">
        <w:rPr>
          <w:rFonts w:ascii="Times New Roman" w:hAnsi="Times New Roman" w:cs="Times New Roman"/>
          <w:sz w:val="24"/>
          <w:szCs w:val="24"/>
        </w:rPr>
        <w:t>(</w:t>
      </w:r>
      <w:r w:rsidR="007A2A5A" w:rsidRPr="00847DD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7A2A5A" w:rsidRPr="00847DD6">
        <w:rPr>
          <w:rFonts w:ascii="Times New Roman" w:hAnsi="Times New Roman" w:cs="Times New Roman"/>
          <w:sz w:val="24"/>
          <w:szCs w:val="24"/>
        </w:rPr>
        <w:t>) validation set and (</w:t>
      </w:r>
      <w:r w:rsidR="007A2A5A" w:rsidRPr="00847DD6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7A2A5A" w:rsidRPr="00847DD6">
        <w:rPr>
          <w:rFonts w:ascii="Times New Roman" w:hAnsi="Times New Roman" w:cs="Times New Roman"/>
          <w:sz w:val="24"/>
          <w:szCs w:val="24"/>
        </w:rPr>
        <w:t>) test set (unseen ligands) against the five nearest neighbors in the training set</w:t>
      </w:r>
      <w:r w:rsidRPr="00847DD6">
        <w:rPr>
          <w:rFonts w:ascii="Times New Roman" w:hAnsi="Times New Roman" w:cs="Times New Roman"/>
          <w:sz w:val="24"/>
          <w:szCs w:val="24"/>
        </w:rPr>
        <w:t>.</w:t>
      </w:r>
    </w:p>
    <w:p w14:paraId="7B054003" w14:textId="1375B52B" w:rsidR="00DB3EDD" w:rsidRDefault="00DB3EDD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B3F2B0" w14:textId="6A837837" w:rsidR="00DB3EDD" w:rsidRDefault="00F67336" w:rsidP="007E6651">
      <w:pPr>
        <w:spacing w:afterLines="40" w:after="96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651245" wp14:editId="75D93176">
            <wp:extent cx="4810125" cy="3165940"/>
            <wp:effectExtent l="0" t="0" r="0" b="0"/>
            <wp:docPr id="1283960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95" cy="3172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B35607" w14:textId="2A2AB31B" w:rsidR="007A2A5A" w:rsidRPr="00847DD6" w:rsidRDefault="007A2A5A" w:rsidP="007A2A5A">
      <w:pPr>
        <w:spacing w:afterLines="40" w:after="96" w:line="480" w:lineRule="auto"/>
        <w:rPr>
          <w:rFonts w:ascii="Times New Roman" w:hAnsi="Times New Roman" w:cs="Times New Roman"/>
          <w:sz w:val="24"/>
          <w:szCs w:val="24"/>
        </w:rPr>
      </w:pPr>
      <w:r w:rsidRPr="00847DD6">
        <w:rPr>
          <w:rFonts w:ascii="Times New Roman" w:hAnsi="Times New Roman" w:cs="Times New Roman"/>
          <w:b/>
          <w:bCs/>
          <w:sz w:val="24"/>
          <w:szCs w:val="24"/>
        </w:rPr>
        <w:t>Figure S2.</w:t>
      </w:r>
      <w:r w:rsidRPr="00847DD6">
        <w:rPr>
          <w:rFonts w:ascii="Times New Roman" w:hAnsi="Times New Roman" w:cs="Times New Roman"/>
          <w:sz w:val="24"/>
          <w:szCs w:val="24"/>
        </w:rPr>
        <w:t xml:space="preserve"> Comparison of validation </w:t>
      </w:r>
      <w:r w:rsidR="00D05057" w:rsidRPr="00847DD6">
        <w:rPr>
          <w:rFonts w:ascii="Times New Roman" w:hAnsi="Times New Roman" w:cs="Times New Roman"/>
          <w:sz w:val="24"/>
          <w:szCs w:val="24"/>
        </w:rPr>
        <w:t>area under the receiver operating characteristic curve (</w:t>
      </w:r>
      <w:r w:rsidRPr="00847DD6">
        <w:rPr>
          <w:rFonts w:ascii="Times New Roman" w:hAnsi="Times New Roman" w:cs="Times New Roman"/>
          <w:sz w:val="24"/>
          <w:szCs w:val="24"/>
        </w:rPr>
        <w:t>AUROC</w:t>
      </w:r>
      <w:r w:rsidR="00D05057" w:rsidRPr="00847DD6">
        <w:rPr>
          <w:rFonts w:ascii="Times New Roman" w:hAnsi="Times New Roman" w:cs="Times New Roman"/>
          <w:sz w:val="24"/>
          <w:szCs w:val="24"/>
        </w:rPr>
        <w:t>) values</w:t>
      </w:r>
      <w:r w:rsidRPr="00847DD6">
        <w:rPr>
          <w:rFonts w:ascii="Times New Roman" w:hAnsi="Times New Roman" w:cs="Times New Roman"/>
          <w:sz w:val="24"/>
          <w:szCs w:val="24"/>
        </w:rPr>
        <w:t xml:space="preserve"> across multiple epochs for all </w:t>
      </w:r>
      <w:r w:rsidR="00D51B1C" w:rsidRPr="00847DD6">
        <w:rPr>
          <w:rFonts w:ascii="Times New Roman" w:hAnsi="Times New Roman" w:cs="Times New Roman"/>
          <w:sz w:val="24"/>
          <w:szCs w:val="24"/>
        </w:rPr>
        <w:t xml:space="preserve">the </w:t>
      </w:r>
      <w:r w:rsidRPr="00847DD6">
        <w:rPr>
          <w:rFonts w:ascii="Times New Roman" w:hAnsi="Times New Roman" w:cs="Times New Roman"/>
          <w:sz w:val="24"/>
          <w:szCs w:val="24"/>
        </w:rPr>
        <w:t>models</w:t>
      </w:r>
      <w:r w:rsidR="00F67336" w:rsidRPr="00847DD6">
        <w:rPr>
          <w:rFonts w:ascii="Times New Roman" w:hAnsi="Times New Roman" w:cs="Times New Roman"/>
          <w:sz w:val="24"/>
          <w:szCs w:val="24"/>
        </w:rPr>
        <w:t>.</w:t>
      </w:r>
      <w:r w:rsidR="00D51B1C" w:rsidRPr="00847DD6">
        <w:rPr>
          <w:rFonts w:ascii="Times New Roman" w:hAnsi="Times New Roman" w:cs="Times New Roman"/>
          <w:sz w:val="24"/>
          <w:szCs w:val="24"/>
        </w:rPr>
        <w:t xml:space="preserve"> CosSim: dual-projection cosine similarity networks; CA-Base: bidirectional cross-attention with frozen protein and ligand encoders; CA-Lig: fine-tuned ligand encoders; CA-Prot: fine-tuned protein encoders; CA-Full: fine-tuned ligand and protein encoders.</w:t>
      </w:r>
    </w:p>
    <w:p w14:paraId="5CE17C72" w14:textId="516FFB41" w:rsidR="00F67336" w:rsidRDefault="00F67336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06BE49" w14:textId="4925F4FC" w:rsidR="00F67336" w:rsidRDefault="00F67336" w:rsidP="007E6651">
      <w:pPr>
        <w:spacing w:afterLines="40" w:after="96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C47D38" wp14:editId="2A65C28E">
            <wp:extent cx="5295900" cy="3489710"/>
            <wp:effectExtent l="0" t="0" r="0" b="0"/>
            <wp:docPr id="19800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249" cy="349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83982" w14:textId="4D9F81B0" w:rsidR="007A2A5A" w:rsidRPr="00847DD6" w:rsidRDefault="007A2A5A" w:rsidP="007A2A5A">
      <w:pPr>
        <w:spacing w:afterLines="40" w:after="96" w:line="480" w:lineRule="auto"/>
        <w:rPr>
          <w:rFonts w:ascii="Times New Roman" w:hAnsi="Times New Roman" w:cs="Times New Roman"/>
          <w:sz w:val="24"/>
          <w:szCs w:val="24"/>
        </w:rPr>
      </w:pPr>
      <w:r w:rsidRPr="00847DD6">
        <w:rPr>
          <w:rFonts w:ascii="Times New Roman" w:hAnsi="Times New Roman" w:cs="Times New Roman"/>
          <w:b/>
          <w:bCs/>
          <w:sz w:val="24"/>
          <w:szCs w:val="24"/>
        </w:rPr>
        <w:t>Figure S3.</w:t>
      </w:r>
      <w:r w:rsidRPr="00847DD6">
        <w:rPr>
          <w:rFonts w:ascii="Times New Roman" w:hAnsi="Times New Roman" w:cs="Times New Roman"/>
          <w:sz w:val="24"/>
          <w:szCs w:val="24"/>
        </w:rPr>
        <w:t xml:space="preserve"> Drop in the </w:t>
      </w:r>
      <w:r w:rsidR="00D51B1C" w:rsidRPr="00847DD6">
        <w:rPr>
          <w:rFonts w:ascii="Times New Roman" w:hAnsi="Times New Roman" w:cs="Times New Roman"/>
          <w:sz w:val="24"/>
          <w:szCs w:val="24"/>
        </w:rPr>
        <w:t>area under the receiver operating characteristic curve (</w:t>
      </w:r>
      <w:r w:rsidRPr="00847DD6">
        <w:rPr>
          <w:rFonts w:ascii="Times New Roman" w:hAnsi="Times New Roman" w:cs="Times New Roman"/>
          <w:sz w:val="24"/>
          <w:szCs w:val="24"/>
        </w:rPr>
        <w:t>AUROC</w:t>
      </w:r>
      <w:r w:rsidR="00D51B1C" w:rsidRPr="00847DD6">
        <w:rPr>
          <w:rFonts w:ascii="Times New Roman" w:hAnsi="Times New Roman" w:cs="Times New Roman"/>
          <w:sz w:val="24"/>
          <w:szCs w:val="24"/>
        </w:rPr>
        <w:t>)</w:t>
      </w:r>
      <w:r w:rsidRPr="00847DD6">
        <w:rPr>
          <w:rFonts w:ascii="Times New Roman" w:hAnsi="Times New Roman" w:cs="Times New Roman"/>
          <w:sz w:val="24"/>
          <w:szCs w:val="24"/>
        </w:rPr>
        <w:t xml:space="preserve"> values for all </w:t>
      </w:r>
      <w:r w:rsidR="00D51B1C" w:rsidRPr="00847DD6">
        <w:rPr>
          <w:rFonts w:ascii="Times New Roman" w:hAnsi="Times New Roman" w:cs="Times New Roman"/>
          <w:sz w:val="24"/>
          <w:szCs w:val="24"/>
        </w:rPr>
        <w:t xml:space="preserve">the </w:t>
      </w:r>
      <w:r w:rsidRPr="00847DD6">
        <w:rPr>
          <w:rFonts w:ascii="Times New Roman" w:hAnsi="Times New Roman" w:cs="Times New Roman"/>
          <w:sz w:val="24"/>
          <w:szCs w:val="24"/>
        </w:rPr>
        <w:t>models across the different validation protocols</w:t>
      </w:r>
      <w:r w:rsidR="00F67336" w:rsidRPr="00847DD6">
        <w:rPr>
          <w:rFonts w:ascii="Times New Roman" w:hAnsi="Times New Roman" w:cs="Times New Roman"/>
          <w:sz w:val="24"/>
          <w:szCs w:val="24"/>
        </w:rPr>
        <w:t>.</w:t>
      </w:r>
      <w:r w:rsidR="00D51B1C" w:rsidRPr="00847DD6">
        <w:rPr>
          <w:rFonts w:ascii="Times New Roman" w:hAnsi="Times New Roman" w:cs="Times New Roman"/>
          <w:sz w:val="24"/>
          <w:szCs w:val="24"/>
        </w:rPr>
        <w:t xml:space="preserve"> CosSim: dual-projection cosine similarity networks; CA-Base: bidirectional cross-attention with frozen protein and ligand encoders; CA-Lig: fine-tuned ligand encoders; CA-Prot: fine-tuned protein encoders; CA-Full: fine-tuned ligand and protein encoders; XGB: XGBoost.</w:t>
      </w:r>
    </w:p>
    <w:p w14:paraId="2001D909" w14:textId="01EFF65B" w:rsidR="00F67336" w:rsidRDefault="00F67336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CAAA7E" w14:textId="11BE1F99" w:rsidR="00F67336" w:rsidRDefault="001D65A4" w:rsidP="007E6651">
      <w:pPr>
        <w:spacing w:afterLines="40" w:after="96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8D3B3F" wp14:editId="05365DEE">
            <wp:extent cx="6041390" cy="2414270"/>
            <wp:effectExtent l="0" t="0" r="0" b="5080"/>
            <wp:docPr id="1331390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241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C330E0" w14:textId="3D495D32" w:rsidR="007A2A5A" w:rsidRPr="00847DD6" w:rsidRDefault="007A2A5A" w:rsidP="007A2A5A">
      <w:pPr>
        <w:spacing w:afterLines="40" w:after="96" w:line="480" w:lineRule="auto"/>
        <w:rPr>
          <w:rFonts w:ascii="Times New Roman" w:hAnsi="Times New Roman" w:cs="Times New Roman"/>
          <w:sz w:val="24"/>
          <w:szCs w:val="24"/>
        </w:rPr>
      </w:pPr>
      <w:r w:rsidRPr="00847DD6">
        <w:rPr>
          <w:rFonts w:ascii="Times New Roman" w:hAnsi="Times New Roman" w:cs="Times New Roman"/>
          <w:b/>
          <w:bCs/>
          <w:sz w:val="24"/>
          <w:szCs w:val="24"/>
        </w:rPr>
        <w:t>Figure S4.</w:t>
      </w:r>
      <w:r w:rsidRPr="00847DD6">
        <w:rPr>
          <w:rFonts w:ascii="Times New Roman" w:hAnsi="Times New Roman" w:cs="Times New Roman"/>
          <w:sz w:val="24"/>
          <w:szCs w:val="24"/>
        </w:rPr>
        <w:t xml:space="preserve"> Comparison of model performance for predicting off-target profiling in ligands with at least </w:t>
      </w:r>
      <w:r w:rsidR="00484910" w:rsidRPr="00847DD6">
        <w:rPr>
          <w:rFonts w:ascii="Times New Roman" w:hAnsi="Times New Roman" w:cs="Times New Roman"/>
          <w:sz w:val="24"/>
          <w:szCs w:val="24"/>
        </w:rPr>
        <w:t>five</w:t>
      </w:r>
      <w:r w:rsidRPr="00847DD6">
        <w:rPr>
          <w:rFonts w:ascii="Times New Roman" w:hAnsi="Times New Roman" w:cs="Times New Roman"/>
          <w:sz w:val="24"/>
          <w:szCs w:val="24"/>
        </w:rPr>
        <w:t xml:space="preserve"> </w:t>
      </w:r>
      <w:r w:rsidR="00484910" w:rsidRPr="00847DD6">
        <w:rPr>
          <w:rFonts w:ascii="Times New Roman" w:hAnsi="Times New Roman" w:cs="Times New Roman"/>
          <w:sz w:val="24"/>
          <w:szCs w:val="24"/>
        </w:rPr>
        <w:t>G protein-coupled receptor (</w:t>
      </w:r>
      <w:r w:rsidRPr="00847DD6">
        <w:rPr>
          <w:rFonts w:ascii="Times New Roman" w:hAnsi="Times New Roman" w:cs="Times New Roman"/>
          <w:sz w:val="24"/>
          <w:szCs w:val="24"/>
        </w:rPr>
        <w:t>GPCR</w:t>
      </w:r>
      <w:r w:rsidR="00484910" w:rsidRPr="00847DD6">
        <w:rPr>
          <w:rFonts w:ascii="Times New Roman" w:hAnsi="Times New Roman" w:cs="Times New Roman"/>
          <w:sz w:val="24"/>
          <w:szCs w:val="24"/>
        </w:rPr>
        <w:t>)</w:t>
      </w:r>
      <w:r w:rsidRPr="00847DD6">
        <w:rPr>
          <w:rFonts w:ascii="Times New Roman" w:hAnsi="Times New Roman" w:cs="Times New Roman"/>
          <w:sz w:val="24"/>
          <w:szCs w:val="24"/>
        </w:rPr>
        <w:t xml:space="preserve"> targets. (</w:t>
      </w:r>
      <w:r w:rsidRPr="00847DD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47DD6">
        <w:rPr>
          <w:rFonts w:ascii="Times New Roman" w:hAnsi="Times New Roman" w:cs="Times New Roman"/>
          <w:sz w:val="24"/>
          <w:szCs w:val="24"/>
        </w:rPr>
        <w:t xml:space="preserve">) Boxplots comparing the </w:t>
      </w:r>
      <w:r w:rsidR="00484910" w:rsidRPr="00847DD6">
        <w:rPr>
          <w:rFonts w:ascii="Times New Roman" w:hAnsi="Times New Roman" w:cs="Times New Roman"/>
          <w:sz w:val="24"/>
          <w:szCs w:val="24"/>
        </w:rPr>
        <w:t>a</w:t>
      </w:r>
      <w:r w:rsidRPr="00847DD6">
        <w:rPr>
          <w:rFonts w:ascii="Times New Roman" w:hAnsi="Times New Roman" w:cs="Times New Roman"/>
          <w:sz w:val="24"/>
          <w:szCs w:val="24"/>
        </w:rPr>
        <w:t>rea under the receiver</w:t>
      </w:r>
      <w:r w:rsidR="00484910" w:rsidRPr="00847DD6">
        <w:rPr>
          <w:rFonts w:ascii="Times New Roman" w:hAnsi="Times New Roman" w:cs="Times New Roman"/>
          <w:sz w:val="24"/>
          <w:szCs w:val="24"/>
        </w:rPr>
        <w:t xml:space="preserve"> </w:t>
      </w:r>
      <w:r w:rsidRPr="00847DD6">
        <w:rPr>
          <w:rFonts w:ascii="Times New Roman" w:hAnsi="Times New Roman" w:cs="Times New Roman"/>
          <w:sz w:val="24"/>
          <w:szCs w:val="24"/>
        </w:rPr>
        <w:t>operat</w:t>
      </w:r>
      <w:r w:rsidR="00484910" w:rsidRPr="00847DD6">
        <w:rPr>
          <w:rFonts w:ascii="Times New Roman" w:hAnsi="Times New Roman" w:cs="Times New Roman"/>
          <w:sz w:val="24"/>
          <w:szCs w:val="24"/>
        </w:rPr>
        <w:t>ing</w:t>
      </w:r>
      <w:r w:rsidRPr="00847DD6">
        <w:rPr>
          <w:rFonts w:ascii="Times New Roman" w:hAnsi="Times New Roman" w:cs="Times New Roman"/>
          <w:sz w:val="24"/>
          <w:szCs w:val="24"/>
        </w:rPr>
        <w:t xml:space="preserve"> characteristic curve (AUROC) for our seven models</w:t>
      </w:r>
      <w:r w:rsidR="00484910" w:rsidRPr="00847DD6">
        <w:rPr>
          <w:rFonts w:ascii="Times New Roman" w:hAnsi="Times New Roman" w:cs="Times New Roman"/>
          <w:sz w:val="24"/>
          <w:szCs w:val="24"/>
        </w:rPr>
        <w:t>.</w:t>
      </w:r>
      <w:r w:rsidRPr="00847DD6">
        <w:rPr>
          <w:rFonts w:ascii="Times New Roman" w:hAnsi="Times New Roman" w:cs="Times New Roman"/>
          <w:sz w:val="24"/>
          <w:szCs w:val="24"/>
        </w:rPr>
        <w:t xml:space="preserve"> (</w:t>
      </w:r>
      <w:r w:rsidRPr="00847DD6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47DD6">
        <w:rPr>
          <w:rFonts w:ascii="Times New Roman" w:hAnsi="Times New Roman" w:cs="Times New Roman"/>
          <w:sz w:val="24"/>
          <w:szCs w:val="24"/>
        </w:rPr>
        <w:t xml:space="preserve">) Sign plots showing the pairwise significance matrices obtained using </w:t>
      </w:r>
      <w:r w:rsidR="00484910" w:rsidRPr="00847DD6">
        <w:rPr>
          <w:rFonts w:ascii="Times New Roman" w:hAnsi="Times New Roman" w:cs="Times New Roman"/>
          <w:sz w:val="24"/>
          <w:szCs w:val="24"/>
        </w:rPr>
        <w:t xml:space="preserve">the </w:t>
      </w:r>
      <w:r w:rsidRPr="00847DD6">
        <w:rPr>
          <w:rFonts w:ascii="Times New Roman" w:hAnsi="Times New Roman" w:cs="Times New Roman"/>
          <w:sz w:val="24"/>
          <w:szCs w:val="24"/>
        </w:rPr>
        <w:t>Conover-Friedman test.</w:t>
      </w:r>
      <w:r w:rsidR="00484910" w:rsidRPr="00847DD6">
        <w:rPr>
          <w:rFonts w:ascii="Times New Roman" w:hAnsi="Times New Roman" w:cs="Times New Roman"/>
          <w:sz w:val="24"/>
          <w:szCs w:val="24"/>
        </w:rPr>
        <w:t xml:space="preserve"> CosSim: dual-projection cosine similarity networks; CA-Base: bidirectional cross-attention with frozen protein and ligand encoders; CA-Lig: fine-tuned ligand encoders; CA-Prot: fine-tuned protein encoders; CA-Full: fine-tuned ligand and protein encoders; XGB: XGBoost; NS, not significant.</w:t>
      </w:r>
    </w:p>
    <w:p w14:paraId="39FF8BAB" w14:textId="33A7DFF0" w:rsidR="001D65A4" w:rsidRDefault="001D65A4" w:rsidP="00847DD6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AA3679" w14:textId="2C68F5B3" w:rsidR="001D65A4" w:rsidRDefault="001D65A4" w:rsidP="007E6651">
      <w:pPr>
        <w:spacing w:afterLines="40" w:after="96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64269F" wp14:editId="39E6AB89">
            <wp:extent cx="5495925" cy="5661945"/>
            <wp:effectExtent l="0" t="0" r="0" b="0"/>
            <wp:docPr id="1612412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915" cy="566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6FCEF" w14:textId="68337F46" w:rsidR="007A2A5A" w:rsidRDefault="007A2A5A" w:rsidP="007A2A5A">
      <w:pPr>
        <w:spacing w:afterLines="40" w:after="96" w:line="480" w:lineRule="auto"/>
        <w:rPr>
          <w:rFonts w:ascii="Times New Roman" w:hAnsi="Times New Roman" w:cs="Times New Roman"/>
        </w:rPr>
      </w:pPr>
      <w:r w:rsidRPr="006E3F07">
        <w:rPr>
          <w:rFonts w:ascii="Times New Roman" w:hAnsi="Times New Roman" w:cs="Times New Roman"/>
          <w:b/>
          <w:bCs/>
        </w:rPr>
        <w:t>Figure S</w:t>
      </w:r>
      <w:r>
        <w:rPr>
          <w:rFonts w:ascii="Times New Roman" w:hAnsi="Times New Roman" w:cs="Times New Roman"/>
          <w:b/>
          <w:bCs/>
        </w:rPr>
        <w:t>5</w:t>
      </w:r>
      <w:r w:rsidRPr="006E3F07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Phylogenetic tree showing the distribution of </w:t>
      </w:r>
      <w:r w:rsidR="0052284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119 </w:t>
      </w:r>
      <w:r w:rsidR="00522845">
        <w:rPr>
          <w:rFonts w:ascii="Times New Roman" w:hAnsi="Times New Roman" w:cs="Times New Roman"/>
        </w:rPr>
        <w:t>G protein-coupled receptors (</w:t>
      </w:r>
      <w:r>
        <w:rPr>
          <w:rFonts w:ascii="Times New Roman" w:hAnsi="Times New Roman" w:cs="Times New Roman"/>
        </w:rPr>
        <w:t>GPCRs</w:t>
      </w:r>
      <w:r w:rsidR="0052284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in our dataset. </w:t>
      </w:r>
      <w:r w:rsidR="0052284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GPCRs present in the test set (unseen proteins) are highlighted in green</w:t>
      </w:r>
      <w:r w:rsidR="00522845"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</w:rPr>
        <w:t xml:space="preserve">red based on whether their individual </w:t>
      </w:r>
      <w:r w:rsidR="00522845">
        <w:rPr>
          <w:rFonts w:ascii="Times New Roman" w:hAnsi="Times New Roman" w:cs="Times New Roman"/>
        </w:rPr>
        <w:t>Matthews correlation coefficient (</w:t>
      </w:r>
      <w:r>
        <w:rPr>
          <w:rFonts w:ascii="Times New Roman" w:hAnsi="Times New Roman" w:cs="Times New Roman"/>
        </w:rPr>
        <w:t>MCC</w:t>
      </w:r>
      <w:r w:rsidR="0052284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522845">
        <w:rPr>
          <w:rFonts w:ascii="Times New Roman" w:hAnsi="Times New Roman" w:cs="Times New Roman"/>
        </w:rPr>
        <w:t>values were</w:t>
      </w:r>
      <w:r>
        <w:rPr>
          <w:rFonts w:ascii="Times New Roman" w:hAnsi="Times New Roman" w:cs="Times New Roman"/>
        </w:rPr>
        <w:t xml:space="preserve"> better</w:t>
      </w:r>
      <w:r w:rsidR="00522845"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</w:rPr>
        <w:t>worse</w:t>
      </w:r>
      <w:r w:rsidR="00522845">
        <w:rPr>
          <w:rFonts w:ascii="Times New Roman" w:hAnsi="Times New Roman" w:cs="Times New Roman"/>
        </w:rPr>
        <w:t>, respectively,</w:t>
      </w:r>
      <w:r>
        <w:rPr>
          <w:rFonts w:ascii="Times New Roman" w:hAnsi="Times New Roman" w:cs="Times New Roman"/>
        </w:rPr>
        <w:t xml:space="preserve"> than the average MCC.</w:t>
      </w:r>
    </w:p>
    <w:p w14:paraId="33D8C7EB" w14:textId="2646E51A" w:rsidR="001D65A4" w:rsidRDefault="001D65A4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656749" w14:textId="012A9932" w:rsidR="001D65A4" w:rsidRDefault="001D65A4" w:rsidP="007E6651">
      <w:pPr>
        <w:spacing w:afterLines="40" w:after="96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3589AD" wp14:editId="3AB0464C">
            <wp:extent cx="6038215" cy="2580565"/>
            <wp:effectExtent l="0" t="0" r="0" b="0"/>
            <wp:docPr id="209626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91" cy="2589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922489" w14:textId="134FC95A" w:rsidR="007A2A5A" w:rsidRPr="00847DD6" w:rsidRDefault="007A2A5A" w:rsidP="007A2A5A">
      <w:pPr>
        <w:spacing w:afterLines="40" w:after="96" w:line="480" w:lineRule="auto"/>
        <w:rPr>
          <w:rFonts w:ascii="Times New Roman" w:hAnsi="Times New Roman" w:cs="Times New Roman"/>
          <w:sz w:val="24"/>
          <w:szCs w:val="24"/>
        </w:rPr>
      </w:pPr>
      <w:r w:rsidRPr="00847DD6">
        <w:rPr>
          <w:rFonts w:ascii="Times New Roman" w:hAnsi="Times New Roman" w:cs="Times New Roman"/>
          <w:b/>
          <w:bCs/>
          <w:sz w:val="24"/>
          <w:szCs w:val="24"/>
        </w:rPr>
        <w:t>Figure S6.</w:t>
      </w:r>
      <w:r w:rsidRPr="00847DD6">
        <w:rPr>
          <w:rFonts w:ascii="Times New Roman" w:hAnsi="Times New Roman" w:cs="Times New Roman"/>
          <w:sz w:val="24"/>
          <w:szCs w:val="24"/>
        </w:rPr>
        <w:t xml:space="preserve"> Further insights into </w:t>
      </w:r>
      <w:r w:rsidR="00C95E45" w:rsidRPr="00847DD6">
        <w:rPr>
          <w:rFonts w:ascii="Times New Roman" w:hAnsi="Times New Roman" w:cs="Times New Roman"/>
          <w:sz w:val="24"/>
          <w:szCs w:val="24"/>
        </w:rPr>
        <w:t>model</w:t>
      </w:r>
      <w:r w:rsidRPr="00847DD6">
        <w:rPr>
          <w:rFonts w:ascii="Times New Roman" w:hAnsi="Times New Roman" w:cs="Times New Roman"/>
          <w:sz w:val="24"/>
          <w:szCs w:val="24"/>
        </w:rPr>
        <w:t xml:space="preserve"> performance o</w:t>
      </w:r>
      <w:r w:rsidR="00C95E45" w:rsidRPr="00847DD6">
        <w:rPr>
          <w:rFonts w:ascii="Times New Roman" w:hAnsi="Times New Roman" w:cs="Times New Roman"/>
          <w:sz w:val="24"/>
          <w:szCs w:val="24"/>
        </w:rPr>
        <w:t>n</w:t>
      </w:r>
      <w:r w:rsidRPr="00847DD6">
        <w:rPr>
          <w:rFonts w:ascii="Times New Roman" w:hAnsi="Times New Roman" w:cs="Times New Roman"/>
          <w:sz w:val="24"/>
          <w:szCs w:val="24"/>
        </w:rPr>
        <w:t xml:space="preserve"> the test set (unseen proteins) during one run </w:t>
      </w:r>
      <w:r w:rsidR="00C95E45" w:rsidRPr="00847DD6">
        <w:rPr>
          <w:rFonts w:ascii="Times New Roman" w:hAnsi="Times New Roman" w:cs="Times New Roman"/>
          <w:sz w:val="24"/>
          <w:szCs w:val="24"/>
        </w:rPr>
        <w:t>of</w:t>
      </w:r>
      <w:r w:rsidRPr="00847DD6">
        <w:rPr>
          <w:rFonts w:ascii="Times New Roman" w:hAnsi="Times New Roman" w:cs="Times New Roman"/>
          <w:sz w:val="24"/>
          <w:szCs w:val="24"/>
        </w:rPr>
        <w:t xml:space="preserve"> the CA-Base model. (</w:t>
      </w:r>
      <w:r w:rsidRPr="00847DD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847DD6">
        <w:rPr>
          <w:rFonts w:ascii="Times New Roman" w:hAnsi="Times New Roman" w:cs="Times New Roman"/>
          <w:sz w:val="24"/>
          <w:szCs w:val="24"/>
        </w:rPr>
        <w:t xml:space="preserve">) Comparison of the </w:t>
      </w:r>
      <w:r w:rsidR="00C95E45" w:rsidRPr="00847DD6">
        <w:rPr>
          <w:rFonts w:ascii="Times New Roman" w:hAnsi="Times New Roman" w:cs="Times New Roman"/>
          <w:sz w:val="24"/>
          <w:szCs w:val="24"/>
        </w:rPr>
        <w:t>Matthews correlation coefficient (</w:t>
      </w:r>
      <w:r w:rsidRPr="00847DD6">
        <w:rPr>
          <w:rFonts w:ascii="Times New Roman" w:hAnsi="Times New Roman" w:cs="Times New Roman"/>
          <w:sz w:val="24"/>
          <w:szCs w:val="24"/>
        </w:rPr>
        <w:t>MCC</w:t>
      </w:r>
      <w:r w:rsidR="00C95E45" w:rsidRPr="00847DD6">
        <w:rPr>
          <w:rFonts w:ascii="Times New Roman" w:hAnsi="Times New Roman" w:cs="Times New Roman"/>
          <w:sz w:val="24"/>
          <w:szCs w:val="24"/>
        </w:rPr>
        <w:t>)</w:t>
      </w:r>
      <w:r w:rsidRPr="00847DD6">
        <w:rPr>
          <w:rFonts w:ascii="Times New Roman" w:hAnsi="Times New Roman" w:cs="Times New Roman"/>
          <w:sz w:val="24"/>
          <w:szCs w:val="24"/>
        </w:rPr>
        <w:t xml:space="preserve"> for the nine proteins in the test set against their ligand similarity in the training set</w:t>
      </w:r>
      <w:r w:rsidR="00C95E45" w:rsidRPr="00847DD6">
        <w:rPr>
          <w:rFonts w:ascii="Times New Roman" w:hAnsi="Times New Roman" w:cs="Times New Roman"/>
          <w:sz w:val="24"/>
          <w:szCs w:val="24"/>
        </w:rPr>
        <w:t>,</w:t>
      </w:r>
      <w:r w:rsidRPr="00847DD6">
        <w:rPr>
          <w:rFonts w:ascii="Times New Roman" w:hAnsi="Times New Roman" w:cs="Times New Roman"/>
          <w:sz w:val="24"/>
          <w:szCs w:val="24"/>
        </w:rPr>
        <w:t xml:space="preserve"> colored by label difference. Dotted red lines separate MCC and ligand similarity values greater</w:t>
      </w:r>
      <w:r w:rsidR="00C95E45" w:rsidRPr="00847DD6">
        <w:rPr>
          <w:rFonts w:ascii="Times New Roman" w:hAnsi="Times New Roman" w:cs="Times New Roman"/>
          <w:sz w:val="24"/>
          <w:szCs w:val="24"/>
        </w:rPr>
        <w:t xml:space="preserve"> than and </w:t>
      </w:r>
      <w:r w:rsidRPr="00847DD6">
        <w:rPr>
          <w:rFonts w:ascii="Times New Roman" w:hAnsi="Times New Roman" w:cs="Times New Roman"/>
          <w:sz w:val="24"/>
          <w:szCs w:val="24"/>
        </w:rPr>
        <w:t>less than 0.15 and 0.50</w:t>
      </w:r>
      <w:r w:rsidR="00C95E45" w:rsidRPr="00847DD6">
        <w:rPr>
          <w:rFonts w:ascii="Times New Roman" w:hAnsi="Times New Roman" w:cs="Times New Roman"/>
          <w:sz w:val="24"/>
          <w:szCs w:val="24"/>
        </w:rPr>
        <w:t>,</w:t>
      </w:r>
      <w:r w:rsidRPr="00847DD6">
        <w:rPr>
          <w:rFonts w:ascii="Times New Roman" w:hAnsi="Times New Roman" w:cs="Times New Roman"/>
          <w:sz w:val="24"/>
          <w:szCs w:val="24"/>
        </w:rPr>
        <w:t xml:space="preserve"> respectively. (</w:t>
      </w:r>
      <w:r w:rsidRPr="00847DD6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847DD6">
        <w:rPr>
          <w:rFonts w:ascii="Times New Roman" w:hAnsi="Times New Roman" w:cs="Times New Roman"/>
          <w:sz w:val="24"/>
          <w:szCs w:val="24"/>
        </w:rPr>
        <w:t xml:space="preserve">) A detailed comparison of the ligand activity of the protein OX1R against </w:t>
      </w:r>
      <w:r w:rsidR="00115724">
        <w:rPr>
          <w:rFonts w:ascii="Times New Roman" w:hAnsi="Times New Roman" w:cs="Times New Roman"/>
          <w:sz w:val="24"/>
          <w:szCs w:val="24"/>
        </w:rPr>
        <w:t>its</w:t>
      </w:r>
      <w:r w:rsidRPr="00847DD6">
        <w:rPr>
          <w:rFonts w:ascii="Times New Roman" w:hAnsi="Times New Roman" w:cs="Times New Roman"/>
          <w:sz w:val="24"/>
          <w:szCs w:val="24"/>
        </w:rPr>
        <w:t xml:space="preserve"> close analogue OX2R present in the training set. </w:t>
      </w:r>
      <w:commentRangeStart w:id="1"/>
      <w:r w:rsidRPr="00847DD6">
        <w:rPr>
          <w:rFonts w:ascii="Times New Roman" w:hAnsi="Times New Roman" w:cs="Times New Roman"/>
          <w:sz w:val="24"/>
          <w:szCs w:val="24"/>
        </w:rPr>
        <w:t>Only ligands with activity against OX1R are shown and sorted by activity.</w:t>
      </w:r>
      <w:commentRangeEnd w:id="1"/>
      <w:r w:rsidR="00115724">
        <w:rPr>
          <w:rStyle w:val="CommentReference"/>
        </w:rPr>
        <w:commentReference w:id="1"/>
      </w:r>
    </w:p>
    <w:p w14:paraId="47E301C6" w14:textId="77777777" w:rsidR="002B012E" w:rsidRPr="002B012E" w:rsidRDefault="002B012E" w:rsidP="002B012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B012E" w:rsidRPr="002B012E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aria Kuhrmann [Contractor]" w:date="2025-12-31T14:37:00Z" w:initials="MK">
    <w:p w14:paraId="73678FFC" w14:textId="77777777" w:rsidR="00115724" w:rsidRDefault="00115724" w:rsidP="00115724">
      <w:pPr>
        <w:pStyle w:val="CommentText"/>
      </w:pPr>
      <w:r>
        <w:rPr>
          <w:rStyle w:val="CommentReference"/>
        </w:rPr>
        <w:annotationRef/>
      </w:r>
      <w:r>
        <w:t>I’m not sure what this means. Is something missing from the figure?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678FF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B47D4D" w16cex:dateUtc="2025-12-31T19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678FFC" w16cid:durableId="5AB47D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F8CD" w14:textId="77777777" w:rsidR="00B023E8" w:rsidRDefault="00B023E8" w:rsidP="002B012E">
      <w:pPr>
        <w:spacing w:after="0" w:line="240" w:lineRule="auto"/>
      </w:pPr>
      <w:r>
        <w:separator/>
      </w:r>
    </w:p>
  </w:endnote>
  <w:endnote w:type="continuationSeparator" w:id="0">
    <w:p w14:paraId="1C666846" w14:textId="77777777" w:rsidR="00B023E8" w:rsidRDefault="00B023E8" w:rsidP="002B0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73261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D5DA21F" w14:textId="33CC09FE" w:rsidR="001D65A4" w:rsidRPr="001D65A4" w:rsidRDefault="001D65A4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D65A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D65A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D65A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D65A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D65A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D0DE6C5" w14:textId="77777777" w:rsidR="001D65A4" w:rsidRDefault="001D6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4DF4" w14:textId="77777777" w:rsidR="00B023E8" w:rsidRDefault="00B023E8" w:rsidP="002B012E">
      <w:pPr>
        <w:spacing w:after="0" w:line="240" w:lineRule="auto"/>
      </w:pPr>
      <w:r>
        <w:separator/>
      </w:r>
    </w:p>
  </w:footnote>
  <w:footnote w:type="continuationSeparator" w:id="0">
    <w:p w14:paraId="3BAD938D" w14:textId="77777777" w:rsidR="00B023E8" w:rsidRDefault="00B023E8" w:rsidP="002B0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E9E4" w14:textId="641A3D59" w:rsidR="002B012E" w:rsidRPr="002B012E" w:rsidRDefault="002B012E">
    <w:pPr>
      <w:pStyle w:val="Header"/>
      <w:rPr>
        <w:rFonts w:ascii="Times New Roman" w:hAnsi="Times New Roman" w:cs="Times New Roman"/>
        <w:sz w:val="24"/>
        <w:szCs w:val="24"/>
      </w:rPr>
    </w:pPr>
    <w:r w:rsidRPr="002B012E">
      <w:rPr>
        <w:rFonts w:ascii="Times New Roman" w:hAnsi="Times New Roman" w:cs="Times New Roman"/>
        <w:sz w:val="24"/>
        <w:szCs w:val="24"/>
      </w:rPr>
      <w:t>12/31/2025MK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Kuhrmann [Contractor]">
    <w15:presenceInfo w15:providerId="AD" w15:userId="S::MKuhrmann@ad.hjf.org::c5edb66f-0f71-47a6-a44d-2a059226ff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DFE"/>
    <w:rsid w:val="000F0667"/>
    <w:rsid w:val="00114050"/>
    <w:rsid w:val="00115724"/>
    <w:rsid w:val="00125DFE"/>
    <w:rsid w:val="001A38A6"/>
    <w:rsid w:val="001D65A4"/>
    <w:rsid w:val="001F090A"/>
    <w:rsid w:val="002229E6"/>
    <w:rsid w:val="002249DC"/>
    <w:rsid w:val="002B012E"/>
    <w:rsid w:val="0043250D"/>
    <w:rsid w:val="00484910"/>
    <w:rsid w:val="00522845"/>
    <w:rsid w:val="005C1028"/>
    <w:rsid w:val="00681F16"/>
    <w:rsid w:val="00701F8A"/>
    <w:rsid w:val="007A2A5A"/>
    <w:rsid w:val="007E6651"/>
    <w:rsid w:val="0081229D"/>
    <w:rsid w:val="00832D61"/>
    <w:rsid w:val="00847DD6"/>
    <w:rsid w:val="00872149"/>
    <w:rsid w:val="0095540E"/>
    <w:rsid w:val="00AD3F29"/>
    <w:rsid w:val="00AF30C2"/>
    <w:rsid w:val="00AF5CC6"/>
    <w:rsid w:val="00B023E8"/>
    <w:rsid w:val="00B548A0"/>
    <w:rsid w:val="00C95E45"/>
    <w:rsid w:val="00D05057"/>
    <w:rsid w:val="00D51B1C"/>
    <w:rsid w:val="00DB3EDD"/>
    <w:rsid w:val="00DF17F8"/>
    <w:rsid w:val="00ED0989"/>
    <w:rsid w:val="00ED4AAE"/>
    <w:rsid w:val="00ED6C44"/>
    <w:rsid w:val="00F17208"/>
    <w:rsid w:val="00F40FFD"/>
    <w:rsid w:val="00F67336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F548"/>
  <w15:chartTrackingRefBased/>
  <w15:docId w15:val="{81D163DD-644A-4255-8EA5-5CBE88D0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DF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D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D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DF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DF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DF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DF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DF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DF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DF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DF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DF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DF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5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D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12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0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12E"/>
    <w:rPr>
      <w:kern w:val="0"/>
      <w:sz w:val="22"/>
      <w:szCs w:val="22"/>
      <w14:ligatures w14:val="none"/>
    </w:rPr>
  </w:style>
  <w:style w:type="paragraph" w:styleId="Revision">
    <w:name w:val="Revision"/>
    <w:hidden/>
    <w:uiPriority w:val="99"/>
    <w:semiHidden/>
    <w:rsid w:val="00ED4AA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050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50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5057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50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5057"/>
    <w:rPr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A3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4C752-2AFC-4C96-B826-2037FA6A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Kuhrmann [Contractor]</dc:creator>
  <cp:keywords/>
  <dc:description/>
  <cp:lastModifiedBy>Souvik Dey [Contractor Foreign National]</cp:lastModifiedBy>
  <cp:revision>24</cp:revision>
  <dcterms:created xsi:type="dcterms:W3CDTF">2025-12-31T16:42:00Z</dcterms:created>
  <dcterms:modified xsi:type="dcterms:W3CDTF">2026-01-02T20:48:00Z</dcterms:modified>
</cp:coreProperties>
</file>