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CC1CF" w14:textId="4040A0B7" w:rsidR="00C036A8" w:rsidRDefault="00B5013F">
      <w:r>
        <w:t>Funktionsbeschreibung</w:t>
      </w:r>
    </w:p>
    <w:p w14:paraId="7D15DCC9" w14:textId="575B5C0D" w:rsidR="00B5013F" w:rsidRDefault="00B5013F">
      <w:r>
        <w:t>Die Anwendung BDM (</w:t>
      </w:r>
      <w:proofErr w:type="spellStart"/>
      <w:r>
        <w:t>Bülower</w:t>
      </w:r>
      <w:proofErr w:type="spellEnd"/>
      <w:r>
        <w:t xml:space="preserve"> Dokumentenmanagement) unterstützt den </w:t>
      </w:r>
      <w:proofErr w:type="spellStart"/>
      <w:r>
        <w:t>Ablageprozeß</w:t>
      </w:r>
      <w:proofErr w:type="spellEnd"/>
      <w:r>
        <w:t xml:space="preserve"> für eine Immobilienfirma (Bauträger und Hausverwaltung). Sie ist nur in der einen Hinsicht immobilienspezifisch, </w:t>
      </w:r>
      <w:proofErr w:type="spellStart"/>
      <w:r>
        <w:t>daß</w:t>
      </w:r>
      <w:proofErr w:type="spellEnd"/>
      <w:r>
        <w:t xml:space="preserve"> erstes Ablagekriterium das Objekt (Haus) ist. Im </w:t>
      </w:r>
      <w:proofErr w:type="spellStart"/>
      <w:r>
        <w:t>übrigen</w:t>
      </w:r>
      <w:proofErr w:type="spellEnd"/>
      <w:r>
        <w:t xml:space="preserve"> sind alle Funktionen für ein beliebiges kleines Büro übertragbar.</w:t>
      </w:r>
    </w:p>
    <w:p w14:paraId="5262DC1A" w14:textId="411C5949" w:rsidR="00B5013F" w:rsidRDefault="00E57548">
      <w:r>
        <w:t>BDM unterstützt durch ein Frontend und durch LLM-Agenten folgende Schritte, die weiter unten im Detail erläutert werden</w:t>
      </w:r>
      <w:r w:rsidR="00B5013F">
        <w:t>:</w:t>
      </w:r>
    </w:p>
    <w:p w14:paraId="72BC8F11" w14:textId="46987C7B" w:rsidR="00992824" w:rsidRPr="00992824" w:rsidRDefault="00992824" w:rsidP="00992824">
      <w:pPr>
        <w:pStyle w:val="Listenabsatz"/>
        <w:numPr>
          <w:ilvl w:val="0"/>
          <w:numId w:val="1"/>
        </w:numPr>
      </w:pPr>
      <w:r w:rsidRPr="00992824">
        <w:rPr>
          <w:b/>
        </w:rPr>
        <w:t>Sammlung</w:t>
      </w:r>
      <w:r w:rsidR="00E57548">
        <w:rPr>
          <w:b/>
        </w:rPr>
        <w:t xml:space="preserve"> (derzeit BDM-extern)</w:t>
      </w:r>
      <w:r w:rsidRPr="00992824">
        <w:rPr>
          <w:b/>
        </w:rPr>
        <w:t>:</w:t>
      </w:r>
      <w:r>
        <w:t xml:space="preserve"> </w:t>
      </w:r>
      <w:r>
        <w:t xml:space="preserve">Ankommende </w:t>
      </w:r>
      <w:r>
        <w:t>Papierd</w:t>
      </w:r>
      <w:r>
        <w:t xml:space="preserve">okumente werden von einem Mitarbeiter gescannt und optimiert (OCR, Bildschärfung, Kompression etc.). Per Email erhaltene Dokumente </w:t>
      </w:r>
      <w:r>
        <w:t xml:space="preserve">werden über Drag &amp; Drop in einen Ordner abgelegt. Alle Dokumente </w:t>
      </w:r>
      <w:r>
        <w:t>liegen also als durchsuchbare PDF-Dokumente (mit wech</w:t>
      </w:r>
      <w:r>
        <w:t>se</w:t>
      </w:r>
      <w:r>
        <w:t>l</w:t>
      </w:r>
      <w:r>
        <w:t>nd</w:t>
      </w:r>
      <w:r>
        <w:t xml:space="preserve">er Qualität des </w:t>
      </w:r>
      <w:proofErr w:type="spellStart"/>
      <w:r>
        <w:t>Textlayers</w:t>
      </w:r>
      <w:proofErr w:type="spellEnd"/>
      <w:r>
        <w:t>) vor.</w:t>
      </w:r>
    </w:p>
    <w:p w14:paraId="7985AED5" w14:textId="3FC48F5C" w:rsidR="00B5013F" w:rsidRDefault="00B5013F" w:rsidP="00B5013F">
      <w:pPr>
        <w:pStyle w:val="Listenabsatz"/>
        <w:numPr>
          <w:ilvl w:val="0"/>
          <w:numId w:val="1"/>
        </w:numPr>
      </w:pPr>
      <w:r w:rsidRPr="00B5013F">
        <w:rPr>
          <w:b/>
        </w:rPr>
        <w:t>Kategorisierung</w:t>
      </w:r>
      <w:r>
        <w:t xml:space="preserve"> in „Belege“ und „Anderes“. Grund ist, </w:t>
      </w:r>
      <w:proofErr w:type="spellStart"/>
      <w:r>
        <w:t>daß</w:t>
      </w:r>
      <w:proofErr w:type="spellEnd"/>
      <w:r>
        <w:t xml:space="preserve"> Belege in gesonderten Ordnern gespeichert werden. Außerdem werden in den folgenden Schritten für Belege und Anderes jeweils besondere Metainformationen extrahiert. BDM erstellt (über ein lokales LLM) Vorschläge für die Kategorisierung, aber der Mitarbeiter führt diese aus. Als Ergebnis liegen die kategorisierten</w:t>
      </w:r>
    </w:p>
    <w:p w14:paraId="3F042828" w14:textId="775BAE25" w:rsidR="00B5013F" w:rsidRDefault="00B5013F" w:rsidP="00B5013F">
      <w:pPr>
        <w:pStyle w:val="Listenabsatz"/>
        <w:numPr>
          <w:ilvl w:val="0"/>
          <w:numId w:val="1"/>
        </w:numPr>
      </w:pPr>
      <w:r w:rsidRPr="00B5013F">
        <w:rPr>
          <w:b/>
        </w:rPr>
        <w:t>Extraktion</w:t>
      </w:r>
      <w:r>
        <w:t xml:space="preserve"> von Datenfeldern und Zusammenfassungen („Metainformationen“). </w:t>
      </w:r>
      <w:r w:rsidR="00992824">
        <w:t xml:space="preserve">Hierfür </w:t>
      </w:r>
      <w:r w:rsidR="00B774E1">
        <w:t xml:space="preserve">ist ein LLM-Agent verantwortlich, der Zugriff auf zwei Werkzeuge (Tools) hat: Erstens ein RAG-Werkzeug, bei dem </w:t>
      </w:r>
      <w:r w:rsidR="00992824">
        <w:t xml:space="preserve">das Bild- und das </w:t>
      </w:r>
      <w:proofErr w:type="spellStart"/>
      <w:r w:rsidR="00992824">
        <w:t>Textlayer</w:t>
      </w:r>
      <w:proofErr w:type="spellEnd"/>
      <w:r w:rsidR="00992824">
        <w:t xml:space="preserve"> der Dokumente separat an LLM gesandt </w:t>
      </w:r>
      <w:r w:rsidR="00B774E1">
        <w:t>wird</w:t>
      </w:r>
      <w:r w:rsidR="00992824">
        <w:t>(derzeit Azure OpenAI)</w:t>
      </w:r>
      <w:r w:rsidR="00B774E1">
        <w:t>, zweitens eine Inspektion der bereits in der Ablage vorhandenen Metainformationen, um mit ihnen zu vergleichen und Analogien zu finden</w:t>
      </w:r>
      <w:r w:rsidR="00992824">
        <w:t xml:space="preserve">. </w:t>
      </w:r>
      <w:r>
        <w:t>In den Implementierungsdetails sind die zu extrahierenden Datenfelder aufgeführt. Die Metainformationen werden für jedes Dokument in einer separaten JSON-Datei abgespeichert.</w:t>
      </w:r>
      <w:r w:rsidR="00992824">
        <w:t xml:space="preserve"> Um die Korrespondenz zwischen JSON-Datei und Dokument später nachvollziehen und ggf. wiederherstellen zu können, ist in der JSON-Datei insbesondere Dateiname und ein inhaltsbasierter Datei-Hashwert des PDF-Dokuments gespeichert.</w:t>
      </w:r>
    </w:p>
    <w:p w14:paraId="008C9755" w14:textId="15A8AF4E" w:rsidR="00992824" w:rsidRDefault="00992824" w:rsidP="00992824">
      <w:pPr>
        <w:pStyle w:val="Listenabsatz"/>
        <w:numPr>
          <w:ilvl w:val="0"/>
          <w:numId w:val="1"/>
        </w:numPr>
      </w:pPr>
      <w:r w:rsidRPr="00992824">
        <w:rPr>
          <w:b/>
        </w:rPr>
        <w:t>Ablagevorschlag:</w:t>
      </w:r>
      <w:r>
        <w:t xml:space="preserve"> BDM erstellt einen Vorschlag, in welchem Ordner und mit welchem Dateinamen die Datei abgespeichert werden soll. Der Benutzer kann die Liste der Vorschläge durchsehen, modifizieren und anschließend zur Ausführung freigeben. Bei der Ausführung verschiebt BDM das Dokument und die zugehörige JSON-Datei mit Metainformationen.</w:t>
      </w:r>
    </w:p>
    <w:p w14:paraId="4C7AE8AB" w14:textId="7CF5295F" w:rsidR="00992824" w:rsidRDefault="00992824" w:rsidP="00992824">
      <w:r>
        <w:t>Zur Verwaltung der Metainformationen (MI) sind außerdem folgende Hilfsfunktionen verfügbar:</w:t>
      </w:r>
    </w:p>
    <w:p w14:paraId="14EAA368" w14:textId="55FB1F23" w:rsidR="00992824" w:rsidRDefault="00992824" w:rsidP="00E57548">
      <w:pPr>
        <w:pStyle w:val="Listenabsatz"/>
        <w:numPr>
          <w:ilvl w:val="0"/>
          <w:numId w:val="2"/>
        </w:numPr>
      </w:pPr>
      <w:r w:rsidRPr="00E57548">
        <w:rPr>
          <w:b/>
        </w:rPr>
        <w:t xml:space="preserve">MI-Zusammenfassung: </w:t>
      </w:r>
      <w:r>
        <w:t>Alle zu den Dokumenten eines Verzeichnisses gehörige JSON-Dateien werden in einer Datei zusammengefasst.</w:t>
      </w:r>
    </w:p>
    <w:p w14:paraId="425662BE" w14:textId="293FE684" w:rsidR="00992824" w:rsidRDefault="00992824" w:rsidP="00992824">
      <w:pPr>
        <w:pStyle w:val="Listenabsatz"/>
        <w:numPr>
          <w:ilvl w:val="0"/>
          <w:numId w:val="2"/>
        </w:numPr>
      </w:pPr>
      <w:r w:rsidRPr="00E57548">
        <w:rPr>
          <w:b/>
        </w:rPr>
        <w:t xml:space="preserve">MI-Korrespondenz-Korrektur: </w:t>
      </w:r>
      <w:r>
        <w:t xml:space="preserve">Wie oben erwähnt, enthält die MI-Datei insbesondere Dateinamen und Hashwert des Dokuments. Wenn sich nur eines der beiden ändern (bspw. durch BDM-externe </w:t>
      </w:r>
      <w:proofErr w:type="spellStart"/>
      <w:r>
        <w:t>Umbennung</w:t>
      </w:r>
      <w:proofErr w:type="spellEnd"/>
      <w:r>
        <w:t xml:space="preserve"> der Datei oder durch Veränderung des Dateiinhalts), verweist eine dieser Informationen ins Leere, die andere auf eine Datei. In solchen Fällen verändert die Korrespondenz-Korrektur die leerlaufende Information, damit wieder beide auf die gleiche Datei zeigen. Wenn </w:t>
      </w:r>
      <w:r w:rsidR="00E57548">
        <w:t>beide auf verschiedene, existierende Dateien verweisen oder beide ins Leere laufen, werden die Metainformationen gelöscht, und es wird eine MI-Neuerfassung fällig.</w:t>
      </w:r>
    </w:p>
    <w:p w14:paraId="496E9E08" w14:textId="162410C6" w:rsidR="00E57548" w:rsidRDefault="00E57548" w:rsidP="00992824">
      <w:pPr>
        <w:pStyle w:val="Listenabsatz"/>
        <w:numPr>
          <w:ilvl w:val="0"/>
          <w:numId w:val="2"/>
        </w:numPr>
      </w:pPr>
      <w:r w:rsidRPr="00E57548">
        <w:rPr>
          <w:b/>
        </w:rPr>
        <w:t xml:space="preserve">MI-Neuerfassung: </w:t>
      </w:r>
      <w:r>
        <w:t xml:space="preserve">Dokumente können auch BDM-extern in die Ordner gelegt werden, oder die Metainformationen zeigen ins Leere (siehe oben). In diesen Fällen wird die Extraktion unabhängig vom o. g. </w:t>
      </w:r>
      <w:proofErr w:type="spellStart"/>
      <w:r>
        <w:t>Ablageprozeß</w:t>
      </w:r>
      <w:proofErr w:type="spellEnd"/>
      <w:r>
        <w:t xml:space="preserve"> angestoßen. Die resultierende MI-Datei </w:t>
      </w:r>
      <w:r>
        <w:lastRenderedPageBreak/>
        <w:t>wird danach durch MI-Zusammenfassung (s. o.) zu den übrigen MI-Daten des Verzeichnisses geschrieben.</w:t>
      </w:r>
    </w:p>
    <w:p w14:paraId="70610AB1" w14:textId="00D6EAD4" w:rsidR="00E57548" w:rsidRDefault="00E57548" w:rsidP="00E57548">
      <w:r>
        <w:t>Details zu den einzelnen Schritten</w:t>
      </w:r>
    </w:p>
    <w:p w14:paraId="4D1D3BEB" w14:textId="47F63BBF" w:rsidR="00E57548" w:rsidRDefault="00E57548" w:rsidP="00E57548">
      <w:r>
        <w:t>Sammlung</w:t>
      </w:r>
    </w:p>
    <w:p w14:paraId="6E1440DB" w14:textId="74010D13" w:rsidR="00E57548" w:rsidRDefault="00E57548" w:rsidP="00E57548">
      <w:r>
        <w:t>Nach aktuellem Design ist für diesen Schritt keine Unterstützung durch BDM nötig. Es wäre denkbar, die per Email eingehenden Dokumente über Drag &amp; Drop in das BDM-Frontend zu ziehen, aber derzeit ist geplant, die Dateien einfach durch ein Explorer-Fenster in einem Ordner abzulegen, und BDM danach einsetzen zu lassen.</w:t>
      </w:r>
    </w:p>
    <w:p w14:paraId="7BD6999E" w14:textId="59C3F1B9" w:rsidR="00E57548" w:rsidRDefault="00E57548" w:rsidP="00E57548">
      <w:r>
        <w:t>Kategorisierung</w:t>
      </w:r>
    </w:p>
    <w:p w14:paraId="6A47A64E" w14:textId="26AC6237" w:rsidR="00E57548" w:rsidRDefault="00E57548" w:rsidP="00E57548">
      <w:r>
        <w:t>Die Dokumente liegend zu Beginn des Schrittes in zwei Ordnern ab, in der Konfiguration als „Input Scans“ und „Input digital“ definierbar. Beide Ordner werden komplett gleich behandelt. Am Ende des Schrittes sollen die Dokumente in zwei Ordnern liegen, in der Konfiguration als „Ordner Belege“ und „Ordner Nicht-Belege“ definierbar.</w:t>
      </w:r>
    </w:p>
    <w:p w14:paraId="51DEA360" w14:textId="2738486A" w:rsidR="00E57548" w:rsidRDefault="00E57548" w:rsidP="00E57548">
      <w:r>
        <w:t>BDM benutzt ein lokales LLM, um für jedes Dokument einen Beleg-Score von 1 bis 5 zu schätzen. 5 bedeutet: sehr sicher ist dieses Dokument ein Beleg, 1 bedeutet: sehr sicher ist es kein Beleg.</w:t>
      </w:r>
    </w:p>
    <w:p w14:paraId="45A62037" w14:textId="3ACEBEF9" w:rsidR="00E57548" w:rsidRDefault="00E57548" w:rsidP="00E57548">
      <w:r>
        <w:t>Beleg (</w:t>
      </w:r>
      <w:proofErr w:type="spellStart"/>
      <w:r>
        <w:t>tax</w:t>
      </w:r>
      <w:proofErr w:type="spellEnd"/>
      <w:r>
        <w:t xml:space="preserve"> </w:t>
      </w:r>
      <w:proofErr w:type="spellStart"/>
      <w:r>
        <w:t>receipt</w:t>
      </w:r>
      <w:proofErr w:type="spellEnd"/>
      <w:r>
        <w:t xml:space="preserve">) ist dabei </w:t>
      </w:r>
      <w:r w:rsidR="00BD1159">
        <w:t xml:space="preserve">ein </w:t>
      </w:r>
      <w:r>
        <w:t>Dokument</w:t>
      </w:r>
      <w:r w:rsidR="00BD1159">
        <w:t>, das eine Zahlung belegt (Buchhaltungsgrundsatz „keine Zahlung ohne Beleg“). Die letztgültige Beurteilung kann also eigentlich erst erfolgen, wenn die Zahlung des Unternehmens bekannt sind (bspw. als Extrakt des Online-Bankings). Andererseits sind sehr viele Belege ganz offensichtlich. Bei Zweifelsfällen können die folgenden Regeln angewandt werden:</w:t>
      </w:r>
    </w:p>
    <w:p w14:paraId="7EDBE8A4" w14:textId="5FA58C06" w:rsidR="00BD1159" w:rsidRDefault="00BD1159" w:rsidP="00BD1159">
      <w:pPr>
        <w:pStyle w:val="Listenabsatz"/>
        <w:numPr>
          <w:ilvl w:val="0"/>
          <w:numId w:val="3"/>
        </w:numPr>
      </w:pPr>
      <w:r>
        <w:t>Alle als „Rechnung“ überschriebenen Dokumente können als Belege angenommen werden, genauso alle Dokumente, auf denen eine Zahlung vermerkt ist („bezahlt am … von Konto …“). Diese ist allerdings meist handschriftlich und also nicht unbedingt maschinenlesbar.</w:t>
      </w:r>
    </w:p>
    <w:p w14:paraId="2216004C" w14:textId="4F4034CB" w:rsidR="00BD1159" w:rsidRDefault="00BD1159" w:rsidP="00BD1159">
      <w:pPr>
        <w:pStyle w:val="Listenabsatz"/>
        <w:numPr>
          <w:ilvl w:val="0"/>
          <w:numId w:val="3"/>
        </w:numPr>
      </w:pPr>
      <w:r>
        <w:t xml:space="preserve">Folgende Dokumente sind keine Belege: Langlaufende Verträge, bspw. mit Energieversorgern oder Wartungsunternehmen, zu langlaufenden Verträgen gehörende Preisinformationen, Wartungs- und </w:t>
      </w:r>
      <w:proofErr w:type="spellStart"/>
      <w:r>
        <w:t>Meßprotokolle</w:t>
      </w:r>
      <w:proofErr w:type="spellEnd"/>
      <w:r>
        <w:t>.</w:t>
      </w:r>
      <w:r w:rsidR="00D464FB">
        <w:t xml:space="preserve"> Notarielle Verträge oder andere Verträge, bei denen im Vertrag schon gesagt wird, </w:t>
      </w:r>
      <w:proofErr w:type="spellStart"/>
      <w:r w:rsidR="00D464FB">
        <w:t>daß</w:t>
      </w:r>
      <w:proofErr w:type="spellEnd"/>
      <w:r w:rsidR="00D464FB">
        <w:t xml:space="preserve"> eine Zahlungsaufforderung gesondert erfolgen wird.</w:t>
      </w:r>
    </w:p>
    <w:p w14:paraId="50792196" w14:textId="7D75CC55" w:rsidR="00D464FB" w:rsidRDefault="00D464FB" w:rsidP="00D464FB">
      <w:r>
        <w:t>Der Benutzer bekommt vier Listen von Dateien angezeigt: Links den Inhalt der beiden Input-Ordner, rechts den Inhalt der beiden Beleg-/Nicht-Beleg-Ordner. Dazwischen liegt eine Schnellansicht des aktuell markierten PDF-Dokuments. Die Dateinamen in den Input-Ordnern sind nach Beleg-Score farblich markiert (violett-rot-orange-gelb-grün). Der Benutzer kann die Dateien beliebig zwischen den Ordnern über Drag &amp; Drop verschieben. (Ein Verschieben zwischen Scans und digitalen Inputs ist zwar i.d.R. nicht sinnvoll, aber es ist auch nicht nötig, ihn zu verbieten. Alle anderen Verschieberichtungen sind sinnvoll, insbesondere auch ein „Zurück-Verschieben“ von den rechten in die linken Ordner.)</w:t>
      </w:r>
    </w:p>
    <w:p w14:paraId="7331C521" w14:textId="3A8060C1" w:rsidR="00D464FB" w:rsidRDefault="00D464FB" w:rsidP="00D464FB">
      <w:r>
        <w:t>Extraktion</w:t>
      </w:r>
    </w:p>
    <w:p w14:paraId="5D6089C5" w14:textId="77777777" w:rsidR="00B774E1" w:rsidRDefault="00B774E1" w:rsidP="00B774E1">
      <w:r>
        <w:t xml:space="preserve">Werkzeuge des Agenten: Häufig ist ein Dokument nur durch Vergleich mit früheren Dokumenten einem Objekt zuzuordnen. Beispielsweise sind Firmen in Neuenburg (Südbaden) immer für das Objekt in Neuenburg tätig, nicht für ein anderes Objekt in Norddeutschland. Daher geschieht die </w:t>
      </w:r>
      <w:r>
        <w:lastRenderedPageBreak/>
        <w:t>Extraktion nicht allein durch einen fest verdrahteten RAG-Ansatz, sondern über einen Agenten, der das RAG-Werkzeug und eine Inspektion der vorhandenen Metainformationen nutzen kann.</w:t>
      </w:r>
    </w:p>
    <w:p w14:paraId="0363E683" w14:textId="631D7052" w:rsidR="00D464FB" w:rsidRDefault="00D464FB" w:rsidP="00D464FB">
      <w:r>
        <w:t>Für Belege sind die folgenden Metainformationen zu füllen:</w:t>
      </w:r>
    </w:p>
    <w:p w14:paraId="51645E30" w14:textId="64822769" w:rsidR="00D464FB" w:rsidRDefault="00D464FB" w:rsidP="00D464FB">
      <w:pPr>
        <w:pStyle w:val="Listenabsatz"/>
        <w:numPr>
          <w:ilvl w:val="0"/>
          <w:numId w:val="4"/>
        </w:numPr>
      </w:pPr>
      <w:r>
        <w:t>Rechnungsaussteller: Firma und Anschrift</w:t>
      </w:r>
    </w:p>
    <w:p w14:paraId="5AB0DCB0" w14:textId="5919FC38" w:rsidR="00D464FB" w:rsidRDefault="00D464FB" w:rsidP="00D464FB">
      <w:pPr>
        <w:pStyle w:val="Listenabsatz"/>
        <w:numPr>
          <w:ilvl w:val="0"/>
          <w:numId w:val="4"/>
        </w:numPr>
      </w:pPr>
      <w:r>
        <w:t xml:space="preserve">Rechnungsempfänger: nur Firma. In aller Regel sollte eine der bekannten, in der Konfiguration </w:t>
      </w:r>
      <w:proofErr w:type="spellStart"/>
      <w:r>
        <w:t>erfaßten</w:t>
      </w:r>
      <w:proofErr w:type="spellEnd"/>
      <w:r>
        <w:t xml:space="preserve"> Firmen als Empfänger auftauchen. Ein anderer Empfänger sollte nur ausgegeben werden, wenn das LLM sich sicher ist, </w:t>
      </w:r>
      <w:proofErr w:type="spellStart"/>
      <w:r>
        <w:t>daß</w:t>
      </w:r>
      <w:proofErr w:type="spellEnd"/>
      <w:r>
        <w:t xml:space="preserve"> aus der Liste keiner </w:t>
      </w:r>
      <w:proofErr w:type="spellStart"/>
      <w:r>
        <w:t>paßt</w:t>
      </w:r>
      <w:proofErr w:type="spellEnd"/>
      <w:r>
        <w:t>.</w:t>
      </w:r>
    </w:p>
    <w:p w14:paraId="7D26F1D2" w14:textId="7E9675EF" w:rsidR="00B96A14" w:rsidRDefault="00B96A14" w:rsidP="00D464FB">
      <w:pPr>
        <w:pStyle w:val="Listenabsatz"/>
        <w:numPr>
          <w:ilvl w:val="0"/>
          <w:numId w:val="4"/>
        </w:numPr>
      </w:pPr>
      <w:r>
        <w:t>Objekt (Haus), soweit die Leistung spezifisch einem Haus zuzuordnen ist, ansonsten Person</w:t>
      </w:r>
    </w:p>
    <w:p w14:paraId="50282D2A" w14:textId="28D30275" w:rsidR="00FF7E58" w:rsidRDefault="00FF7E58" w:rsidP="00D464FB">
      <w:pPr>
        <w:pStyle w:val="Listenabsatz"/>
        <w:numPr>
          <w:ilvl w:val="0"/>
          <w:numId w:val="4"/>
        </w:numPr>
      </w:pPr>
      <w:r>
        <w:t>falls einschlägig und ersichtlich, Wohnungsnummer oder Mieter, für den die</w:t>
      </w:r>
    </w:p>
    <w:p w14:paraId="5BB39DE2" w14:textId="68305FCE" w:rsidR="00B96A14" w:rsidRDefault="00B96A14" w:rsidP="00D464FB">
      <w:pPr>
        <w:pStyle w:val="Listenabsatz"/>
        <w:numPr>
          <w:ilvl w:val="0"/>
          <w:numId w:val="4"/>
        </w:numPr>
      </w:pPr>
      <w:r>
        <w:t>Rechnungsdatum</w:t>
      </w:r>
    </w:p>
    <w:p w14:paraId="7DC79634" w14:textId="0A2A5FE0" w:rsidR="00B96A14" w:rsidRDefault="00B96A14" w:rsidP="00D464FB">
      <w:pPr>
        <w:pStyle w:val="Listenabsatz"/>
        <w:numPr>
          <w:ilvl w:val="0"/>
          <w:numId w:val="4"/>
        </w:numPr>
      </w:pPr>
      <w:r>
        <w:t>Rechnungsnummer</w:t>
      </w:r>
    </w:p>
    <w:p w14:paraId="7B0C03ED" w14:textId="389295B9" w:rsidR="00B96A14" w:rsidRDefault="00B96A14" w:rsidP="00D464FB">
      <w:pPr>
        <w:pStyle w:val="Listenabsatz"/>
        <w:numPr>
          <w:ilvl w:val="0"/>
          <w:numId w:val="4"/>
        </w:numPr>
      </w:pPr>
      <w:r>
        <w:t>Rechnungs-Betrag</w:t>
      </w:r>
      <w:r w:rsidR="00FF7E58">
        <w:t>, stets brutto und exklusive Skonto und sonstigen Abzügen</w:t>
      </w:r>
    </w:p>
    <w:p w14:paraId="5F8CA9F4" w14:textId="5145C952" w:rsidR="00B96A14" w:rsidRDefault="00B96A14" w:rsidP="00D464FB">
      <w:pPr>
        <w:pStyle w:val="Listenabsatz"/>
        <w:numPr>
          <w:ilvl w:val="0"/>
          <w:numId w:val="4"/>
        </w:numPr>
      </w:pPr>
      <w:r>
        <w:t>wenn verfügbar, Bezahldatum (bspw. bei Bankeinzug)</w:t>
      </w:r>
    </w:p>
    <w:p w14:paraId="024D0228" w14:textId="5BDB3CF7" w:rsidR="00B96A14" w:rsidRDefault="00B96A14" w:rsidP="00D464FB">
      <w:pPr>
        <w:pStyle w:val="Listenabsatz"/>
        <w:numPr>
          <w:ilvl w:val="0"/>
          <w:numId w:val="4"/>
        </w:numPr>
      </w:pPr>
      <w:r>
        <w:t xml:space="preserve">bei Rechnungen für aktuell </w:t>
      </w:r>
      <w:r w:rsidR="00FF7E58">
        <w:t xml:space="preserve">im Bau befindliche Objekte: Kategorie Einzelrechnung / Abschlag / </w:t>
      </w:r>
      <w:proofErr w:type="spellStart"/>
      <w:r w:rsidR="00FF7E58">
        <w:t>Schlußrechnung</w:t>
      </w:r>
      <w:proofErr w:type="spellEnd"/>
    </w:p>
    <w:p w14:paraId="23C39D76" w14:textId="61B273E8" w:rsidR="00FF7E58" w:rsidRDefault="00FF7E58" w:rsidP="00D464FB">
      <w:pPr>
        <w:pStyle w:val="Listenabsatz"/>
        <w:numPr>
          <w:ilvl w:val="0"/>
          <w:numId w:val="4"/>
        </w:numPr>
      </w:pPr>
      <w:r>
        <w:t>kurze Zusammenfassung der</w:t>
      </w:r>
    </w:p>
    <w:p w14:paraId="34D007E3" w14:textId="5F684CB3" w:rsidR="00B96A14" w:rsidRDefault="00B96A14" w:rsidP="00B96A14">
      <w:r>
        <w:t xml:space="preserve">Bei Rechnungen von Versorgern, die unterjährig Abschläge abbuchen, ist der gesamte Rechnungsbetrag (Abschläge plus </w:t>
      </w:r>
      <w:proofErr w:type="spellStart"/>
      <w:r>
        <w:t>Schlußzahlung</w:t>
      </w:r>
      <w:proofErr w:type="spellEnd"/>
      <w:r>
        <w:t xml:space="preserve"> bzw. minus Erstattung) zu erfassen. Bei Baurechnungen</w:t>
      </w:r>
      <w:r w:rsidR="00FF7E58">
        <w:t xml:space="preserve"> ist nur der jeweils zu zahlende Betrag zu erfassen, also der Gesamtbetrag für die Leistung abzüglich geleisteter Anzahlungen und abzüglich Gewährleistungs-Einbehalt.</w:t>
      </w:r>
    </w:p>
    <w:p w14:paraId="78EB80A5" w14:textId="51DC8FC8" w:rsidR="00FF7E58" w:rsidRDefault="00FF7E58" w:rsidP="00B96A14">
      <w:r>
        <w:t xml:space="preserve">Für Nicht-Belege sind die </w:t>
      </w:r>
      <w:r>
        <w:t>folgenden Metainformationen zu füllen:</w:t>
      </w:r>
    </w:p>
    <w:p w14:paraId="10E344FF" w14:textId="77777777" w:rsidR="00FF7E58" w:rsidRDefault="00FF7E58" w:rsidP="00FF7E58">
      <w:pPr>
        <w:pStyle w:val="Listenabsatz"/>
        <w:numPr>
          <w:ilvl w:val="0"/>
          <w:numId w:val="6"/>
        </w:numPr>
      </w:pPr>
      <w:r>
        <w:t>Rechnungsaussteller: Firma und Anschrift</w:t>
      </w:r>
    </w:p>
    <w:p w14:paraId="79DA9FAF" w14:textId="77777777" w:rsidR="00FF7E58" w:rsidRDefault="00FF7E58" w:rsidP="00FF7E58">
      <w:pPr>
        <w:pStyle w:val="Listenabsatz"/>
        <w:numPr>
          <w:ilvl w:val="0"/>
          <w:numId w:val="6"/>
        </w:numPr>
      </w:pPr>
      <w:r>
        <w:t xml:space="preserve">Rechnungsempfänger: nur Firma. In aller Regel sollte eine der bekannten, in der Konfiguration </w:t>
      </w:r>
      <w:proofErr w:type="spellStart"/>
      <w:r>
        <w:t>erfaßten</w:t>
      </w:r>
      <w:proofErr w:type="spellEnd"/>
      <w:r>
        <w:t xml:space="preserve"> Firmen als Empfänger auftauchen. Ein anderer Empfänger sollte nur ausgegeben werden, wenn das LLM sich sicher ist, </w:t>
      </w:r>
      <w:proofErr w:type="spellStart"/>
      <w:r>
        <w:t>daß</w:t>
      </w:r>
      <w:proofErr w:type="spellEnd"/>
      <w:r>
        <w:t xml:space="preserve"> aus der Liste keiner </w:t>
      </w:r>
      <w:proofErr w:type="spellStart"/>
      <w:r>
        <w:t>paßt</w:t>
      </w:r>
      <w:proofErr w:type="spellEnd"/>
      <w:r>
        <w:t>.</w:t>
      </w:r>
    </w:p>
    <w:p w14:paraId="532CED7E" w14:textId="77777777" w:rsidR="00FF7E58" w:rsidRDefault="00FF7E58" w:rsidP="00FF7E58">
      <w:pPr>
        <w:pStyle w:val="Listenabsatz"/>
        <w:numPr>
          <w:ilvl w:val="0"/>
          <w:numId w:val="6"/>
        </w:numPr>
      </w:pPr>
      <w:r>
        <w:t>Objekt (Haus), soweit die Leistung spezifisch einem Haus zuzuordnen ist, ansonsten Person</w:t>
      </w:r>
    </w:p>
    <w:p w14:paraId="7D9FCA6B" w14:textId="60B38543" w:rsidR="00FF7E58" w:rsidRDefault="00FF7E58" w:rsidP="00FF7E58">
      <w:pPr>
        <w:pStyle w:val="Listenabsatz"/>
        <w:numPr>
          <w:ilvl w:val="0"/>
          <w:numId w:val="6"/>
        </w:numPr>
      </w:pPr>
      <w:r>
        <w:t>Ausstellungsdatum, soweit ersichtlich. Sind nur ungenaue Angaben (bspw. „Januar 2026“) zu sehen, ist der erste Tag der Periode zu wählen.</w:t>
      </w:r>
    </w:p>
    <w:p w14:paraId="0B5520E2" w14:textId="0AE85B00" w:rsidR="00FF7E58" w:rsidRDefault="00B774E1" w:rsidP="00FF7E58">
      <w:pPr>
        <w:pStyle w:val="Listenabsatz"/>
        <w:numPr>
          <w:ilvl w:val="0"/>
          <w:numId w:val="6"/>
        </w:numPr>
      </w:pPr>
      <w:r>
        <w:t>Kurze Zusammenfassung, bei unwichtigen Dokumenten unter 50 Wörtern, bei relevanten Dokumenten ohne feste Grenze.</w:t>
      </w:r>
      <w:r w:rsidR="00EE6B11">
        <w:t xml:space="preserve"> Die Zusammenfassung soll zum einen beim Ablagevorschlag helfen (s. u.), zum anderen später Suchen und Anfragen an die Dokumentenbasis unterstützen.</w:t>
      </w:r>
    </w:p>
    <w:p w14:paraId="2E9000FA" w14:textId="10C74E87" w:rsidR="00B774E1" w:rsidRDefault="00B774E1" w:rsidP="00B774E1">
      <w:r>
        <w:t>Ablagevorschlag</w:t>
      </w:r>
    </w:p>
    <w:p w14:paraId="1E6D47C2" w14:textId="45800DAB" w:rsidR="00B774E1" w:rsidRDefault="00B774E1" w:rsidP="00B774E1">
      <w:r>
        <w:t>Auch der Ablagevorschlag wird über einen Agenten mit mehreren Werkzeugen erstellt. Die Werkzeuge sind:</w:t>
      </w:r>
    </w:p>
    <w:p w14:paraId="7B3C64EF" w14:textId="33AE4AF6" w:rsidR="00B774E1" w:rsidRDefault="00B774E1" w:rsidP="00B774E1">
      <w:pPr>
        <w:pStyle w:val="Listenabsatz"/>
        <w:numPr>
          <w:ilvl w:val="0"/>
          <w:numId w:val="7"/>
        </w:numPr>
      </w:pPr>
      <w:r>
        <w:t>Inspektion der Metainformationen der aktuellen Datei</w:t>
      </w:r>
      <w:r w:rsidR="001F752D">
        <w:t xml:space="preserve"> und der </w:t>
      </w:r>
    </w:p>
    <w:p w14:paraId="19256A24" w14:textId="05F23F80" w:rsidR="00B774E1" w:rsidRDefault="00B774E1" w:rsidP="00B774E1">
      <w:pPr>
        <w:pStyle w:val="Listenabsatz"/>
        <w:numPr>
          <w:ilvl w:val="0"/>
          <w:numId w:val="7"/>
        </w:numPr>
      </w:pPr>
      <w:r>
        <w:t>Inspektion der Metainformation aller sonstigen Dateien</w:t>
      </w:r>
    </w:p>
    <w:p w14:paraId="0E4890AF" w14:textId="769DE56F" w:rsidR="00FF7E58" w:rsidRDefault="001F752D" w:rsidP="00B96A14">
      <w:r>
        <w:t>Beide Werkzeuge bekommen natürlich die Ordnerstruktur des identifizierten Objekts übergeben. Eines der Hauptkriterien bei der Ablage ist Konsistenz: Wenn ein Dokument in mehrere Ordnern passen könnte, soll es stets dort abgelegt werden, wo schon analoge Dokumente liegen. Dies gilt umso mehr beim Vorschlag des Dateinamen.</w:t>
      </w:r>
    </w:p>
    <w:p w14:paraId="529784A5" w14:textId="77777777" w:rsidR="001F752D" w:rsidRDefault="001F752D" w:rsidP="00B96A14">
      <w:r>
        <w:lastRenderedPageBreak/>
        <w:t>Der Dateiname folgt für Belege der folgenden Konvention:</w:t>
      </w:r>
    </w:p>
    <w:p w14:paraId="6AA72C07" w14:textId="45CB1B94" w:rsidR="001F752D" w:rsidRDefault="001F752D" w:rsidP="00B96A14">
      <w:r>
        <w:t>[Rechnungsdatum]  [Aussteller]  [Zweck] [Betrag]</w:t>
      </w:r>
    </w:p>
    <w:p w14:paraId="10AA6ED3" w14:textId="10D288F9" w:rsidR="001F752D" w:rsidRDefault="001F752D" w:rsidP="00B96A14">
      <w:r>
        <w:t>Für Nicht-Belege der Konvention:</w:t>
      </w:r>
    </w:p>
    <w:p w14:paraId="048B211D" w14:textId="274DE977" w:rsidR="001F752D" w:rsidRDefault="001F752D" w:rsidP="00B96A14">
      <w:r>
        <w:t>[Datum] [Absender] [Beschreibung]</w:t>
      </w:r>
    </w:p>
    <w:p w14:paraId="3B268ACC" w14:textId="6762DEC5" w:rsidR="001F752D" w:rsidRDefault="001F752D" w:rsidP="00B96A14">
      <w:r>
        <w:t>Das Datum folgt dem Format TT-MM-JJ. Zwischen den Bestandteilen sind Leerzeichen.</w:t>
      </w:r>
    </w:p>
    <w:p w14:paraId="53FA9C53" w14:textId="77777777" w:rsidR="00EE6B11" w:rsidRDefault="00EE6B11" w:rsidP="00B96A14"/>
    <w:p w14:paraId="42A5D0E9" w14:textId="4E7A8903" w:rsidR="00D464FB" w:rsidRDefault="00D464FB" w:rsidP="00D464FB">
      <w:r>
        <w:t>Konfiguration</w:t>
      </w:r>
    </w:p>
    <w:p w14:paraId="3434AE4F" w14:textId="3B7AA610" w:rsidR="00D464FB" w:rsidRDefault="00D464FB" w:rsidP="00D464FB">
      <w:r>
        <w:t>Die folgenden Daten sind über das Konfiguration-Frontend zu erfassen und in JSON-Format zu speichern:</w:t>
      </w:r>
    </w:p>
    <w:p w14:paraId="402D277E" w14:textId="10D4F79D" w:rsidR="00D464FB" w:rsidRDefault="00D464FB" w:rsidP="00D464FB">
      <w:pPr>
        <w:pStyle w:val="Listenabsatz"/>
        <w:numPr>
          <w:ilvl w:val="0"/>
          <w:numId w:val="5"/>
        </w:numPr>
      </w:pPr>
      <w:r>
        <w:t>Ordner</w:t>
      </w:r>
      <w:r w:rsidR="00B96A14">
        <w:t xml:space="preserve"> (gespeichert in Programm-Konfigurations-Datei)</w:t>
      </w:r>
      <w:r>
        <w:t>:</w:t>
      </w:r>
    </w:p>
    <w:p w14:paraId="0EE1B29C" w14:textId="50500FAD" w:rsidR="00B96A14" w:rsidRDefault="00B96A14" w:rsidP="00D464FB">
      <w:pPr>
        <w:pStyle w:val="Listenabsatz"/>
        <w:numPr>
          <w:ilvl w:val="1"/>
          <w:numId w:val="5"/>
        </w:numPr>
      </w:pPr>
      <w:r>
        <w:t>Hauptordner der Dokumentenablage</w:t>
      </w:r>
    </w:p>
    <w:p w14:paraId="256438F7" w14:textId="77777777" w:rsidR="00B96A14" w:rsidRDefault="00B96A14" w:rsidP="00D464FB">
      <w:pPr>
        <w:pStyle w:val="Listenabsatz"/>
        <w:numPr>
          <w:ilvl w:val="1"/>
          <w:numId w:val="5"/>
        </w:numPr>
      </w:pPr>
      <w:r>
        <w:t>Posteingangs-Ordner</w:t>
      </w:r>
    </w:p>
    <w:p w14:paraId="4EA47D2A" w14:textId="6B834112" w:rsidR="00D464FB" w:rsidRDefault="00D464FB" w:rsidP="00D464FB">
      <w:pPr>
        <w:pStyle w:val="Listenabsatz"/>
        <w:numPr>
          <w:ilvl w:val="1"/>
          <w:numId w:val="5"/>
        </w:numPr>
      </w:pPr>
      <w:r>
        <w:t>Input Scans</w:t>
      </w:r>
    </w:p>
    <w:p w14:paraId="7EDFD252" w14:textId="69848CC8" w:rsidR="00D464FB" w:rsidRDefault="00D464FB" w:rsidP="00D464FB">
      <w:pPr>
        <w:pStyle w:val="Listenabsatz"/>
        <w:numPr>
          <w:ilvl w:val="1"/>
          <w:numId w:val="5"/>
        </w:numPr>
      </w:pPr>
      <w:r>
        <w:t>Input digital</w:t>
      </w:r>
    </w:p>
    <w:p w14:paraId="0113A41A" w14:textId="6336B748" w:rsidR="00D464FB" w:rsidRDefault="00D464FB" w:rsidP="00D464FB">
      <w:pPr>
        <w:pStyle w:val="Listenabsatz"/>
        <w:numPr>
          <w:ilvl w:val="1"/>
          <w:numId w:val="5"/>
        </w:numPr>
      </w:pPr>
      <w:r>
        <w:t>Kategorie Belege</w:t>
      </w:r>
    </w:p>
    <w:p w14:paraId="4A6D7E67" w14:textId="4D1C43A8" w:rsidR="00D464FB" w:rsidRDefault="00D464FB" w:rsidP="00D464FB">
      <w:pPr>
        <w:pStyle w:val="Listenabsatz"/>
        <w:numPr>
          <w:ilvl w:val="1"/>
          <w:numId w:val="5"/>
        </w:numPr>
      </w:pPr>
      <w:r>
        <w:t>Kategorie Nicht-Belege</w:t>
      </w:r>
    </w:p>
    <w:p w14:paraId="13AAAFB8" w14:textId="0192739B" w:rsidR="001F752D" w:rsidRDefault="001F752D" w:rsidP="001F752D">
      <w:r>
        <w:t>Metainformationen für Nachschlagezwecke</w:t>
      </w:r>
    </w:p>
    <w:p w14:paraId="7399FC94" w14:textId="7F600321" w:rsidR="001F752D" w:rsidRDefault="001F752D" w:rsidP="001F752D">
      <w:r>
        <w:t>Wenn erforderlich, kann BDM die Metainformationen, die bei der Objektzuordnung und beim Ablagevorschlag helfen, folgendermaßen ablegen:</w:t>
      </w:r>
    </w:p>
    <w:p w14:paraId="043AA230" w14:textId="57091D02" w:rsidR="00D464FB" w:rsidRDefault="00B96A14" w:rsidP="00D464FB">
      <w:pPr>
        <w:pStyle w:val="Listenabsatz"/>
        <w:numPr>
          <w:ilvl w:val="0"/>
          <w:numId w:val="5"/>
        </w:numPr>
      </w:pPr>
      <w:r>
        <w:t>Für jeden Unterordner des Hauptordners, der einem Objekt (Haus) zugeordnet ist:</w:t>
      </w:r>
    </w:p>
    <w:p w14:paraId="6C7D8EB3" w14:textId="0F4BE47D" w:rsidR="00B96A14" w:rsidRDefault="00B96A14" w:rsidP="00B96A14">
      <w:pPr>
        <w:pStyle w:val="Listenabsatz"/>
        <w:numPr>
          <w:ilvl w:val="1"/>
          <w:numId w:val="5"/>
        </w:numPr>
      </w:pPr>
      <w:r>
        <w:t>Besitzer</w:t>
      </w:r>
    </w:p>
    <w:p w14:paraId="764871FF" w14:textId="7659C23D" w:rsidR="00B96A14" w:rsidRDefault="00B96A14" w:rsidP="00B96A14">
      <w:pPr>
        <w:pStyle w:val="Listenabsatz"/>
        <w:numPr>
          <w:ilvl w:val="1"/>
          <w:numId w:val="5"/>
        </w:numPr>
      </w:pPr>
      <w:r>
        <w:t>Anschrift</w:t>
      </w:r>
    </w:p>
    <w:p w14:paraId="739AE403" w14:textId="2BBE886E" w:rsidR="00B96A14" w:rsidRDefault="00B96A14" w:rsidP="00B96A14">
      <w:pPr>
        <w:pStyle w:val="Listenabsatz"/>
        <w:numPr>
          <w:ilvl w:val="1"/>
          <w:numId w:val="5"/>
        </w:numPr>
      </w:pPr>
      <w:r>
        <w:t>Baujahr</w:t>
      </w:r>
      <w:r w:rsidR="00FF7E58">
        <w:t xml:space="preserve"> oder ob noch im Bau</w:t>
      </w:r>
    </w:p>
    <w:p w14:paraId="67994DC7" w14:textId="4AB17A96" w:rsidR="00B96A14" w:rsidRDefault="00B96A14" w:rsidP="00B96A14">
      <w:pPr>
        <w:pStyle w:val="Listenabsatz"/>
        <w:numPr>
          <w:ilvl w:val="1"/>
          <w:numId w:val="5"/>
        </w:numPr>
      </w:pPr>
      <w:r>
        <w:t>Kredite, soweit noch laufend</w:t>
      </w:r>
    </w:p>
    <w:p w14:paraId="461CCD08" w14:textId="294267F5" w:rsidR="00B96A14" w:rsidRDefault="00B96A14" w:rsidP="00B96A14">
      <w:pPr>
        <w:pStyle w:val="Listenabsatz"/>
        <w:numPr>
          <w:ilvl w:val="1"/>
          <w:numId w:val="5"/>
        </w:numPr>
      </w:pPr>
      <w:r>
        <w:t>übliche Grundbuch-Daten</w:t>
      </w:r>
    </w:p>
    <w:p w14:paraId="66DAA7AC" w14:textId="3BEC7840" w:rsidR="00B96A14" w:rsidRDefault="00B96A14" w:rsidP="00B96A14">
      <w:pPr>
        <w:pStyle w:val="Listenabsatz"/>
        <w:numPr>
          <w:ilvl w:val="0"/>
          <w:numId w:val="5"/>
        </w:numPr>
      </w:pPr>
      <w:r>
        <w:t>Für jeden Unterordner, der einer Person zugeordnet ist:</w:t>
      </w:r>
    </w:p>
    <w:p w14:paraId="49A3E916" w14:textId="77777777" w:rsidR="00B96A14" w:rsidRDefault="00B96A14" w:rsidP="00B96A14">
      <w:pPr>
        <w:pStyle w:val="Listenabsatz"/>
        <w:numPr>
          <w:ilvl w:val="1"/>
          <w:numId w:val="5"/>
        </w:numPr>
      </w:pPr>
      <w:r>
        <w:t>Name, Anschrift</w:t>
      </w:r>
    </w:p>
    <w:p w14:paraId="7E66C775" w14:textId="2AB2B971" w:rsidR="00B96A14" w:rsidRDefault="00B96A14" w:rsidP="00B96A14">
      <w:pPr>
        <w:pStyle w:val="Listenabsatz"/>
        <w:numPr>
          <w:ilvl w:val="1"/>
          <w:numId w:val="5"/>
        </w:numPr>
      </w:pPr>
      <w:r>
        <w:t>Beschreibung der Lebensumstände und ggf. sonstige persönliche Daten, die bei der Zuordnung von Dokumenten helfen</w:t>
      </w:r>
    </w:p>
    <w:sectPr w:rsidR="00B96A1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3F50"/>
    <w:multiLevelType w:val="hybridMultilevel"/>
    <w:tmpl w:val="AE38259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A3646F5"/>
    <w:multiLevelType w:val="hybridMultilevel"/>
    <w:tmpl w:val="10225D20"/>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6B31E4E"/>
    <w:multiLevelType w:val="hybridMultilevel"/>
    <w:tmpl w:val="ABE058CA"/>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83221F3"/>
    <w:multiLevelType w:val="hybridMultilevel"/>
    <w:tmpl w:val="A420EE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B231566"/>
    <w:multiLevelType w:val="hybridMultilevel"/>
    <w:tmpl w:val="A420EED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6B70646B"/>
    <w:multiLevelType w:val="hybridMultilevel"/>
    <w:tmpl w:val="A9A6B73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7CD96C6A"/>
    <w:multiLevelType w:val="hybridMultilevel"/>
    <w:tmpl w:val="700866D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822046505">
    <w:abstractNumId w:val="0"/>
  </w:num>
  <w:num w:numId="2" w16cid:durableId="2097551740">
    <w:abstractNumId w:val="2"/>
  </w:num>
  <w:num w:numId="3" w16cid:durableId="1748770582">
    <w:abstractNumId w:val="5"/>
  </w:num>
  <w:num w:numId="4" w16cid:durableId="1176261128">
    <w:abstractNumId w:val="4"/>
  </w:num>
  <w:num w:numId="5" w16cid:durableId="524179495">
    <w:abstractNumId w:val="1"/>
  </w:num>
  <w:num w:numId="6" w16cid:durableId="437987384">
    <w:abstractNumId w:val="3"/>
  </w:num>
  <w:num w:numId="7" w16cid:durableId="18312935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D81"/>
    <w:rsid w:val="001F752D"/>
    <w:rsid w:val="002813E6"/>
    <w:rsid w:val="005A652F"/>
    <w:rsid w:val="00992824"/>
    <w:rsid w:val="00B5013F"/>
    <w:rsid w:val="00B774E1"/>
    <w:rsid w:val="00B96A14"/>
    <w:rsid w:val="00BD1159"/>
    <w:rsid w:val="00C036A8"/>
    <w:rsid w:val="00CE0666"/>
    <w:rsid w:val="00D22D81"/>
    <w:rsid w:val="00D464FB"/>
    <w:rsid w:val="00E57548"/>
    <w:rsid w:val="00EE6B11"/>
    <w:rsid w:val="00FF7E5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64B66"/>
  <w15:chartTrackingRefBased/>
  <w15:docId w15:val="{F250A0F3-E775-4D97-97AC-FC68CD914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22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22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22D8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22D8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22D8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22D8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22D8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22D8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22D8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22D8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22D8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22D8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22D8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22D8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22D8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22D8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22D8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22D81"/>
    <w:rPr>
      <w:rFonts w:eastAsiaTheme="majorEastAsia" w:cstheme="majorBidi"/>
      <w:color w:val="272727" w:themeColor="text1" w:themeTint="D8"/>
    </w:rPr>
  </w:style>
  <w:style w:type="paragraph" w:styleId="Titel">
    <w:name w:val="Title"/>
    <w:basedOn w:val="Standard"/>
    <w:next w:val="Standard"/>
    <w:link w:val="TitelZchn"/>
    <w:uiPriority w:val="10"/>
    <w:qFormat/>
    <w:rsid w:val="00D22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22D8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22D8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22D8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22D8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22D81"/>
    <w:rPr>
      <w:i/>
      <w:iCs/>
      <w:color w:val="404040" w:themeColor="text1" w:themeTint="BF"/>
    </w:rPr>
  </w:style>
  <w:style w:type="paragraph" w:styleId="Listenabsatz">
    <w:name w:val="List Paragraph"/>
    <w:basedOn w:val="Standard"/>
    <w:uiPriority w:val="34"/>
    <w:qFormat/>
    <w:rsid w:val="00D22D81"/>
    <w:pPr>
      <w:ind w:left="720"/>
      <w:contextualSpacing/>
    </w:pPr>
  </w:style>
  <w:style w:type="character" w:styleId="IntensiveHervorhebung">
    <w:name w:val="Intense Emphasis"/>
    <w:basedOn w:val="Absatz-Standardschriftart"/>
    <w:uiPriority w:val="21"/>
    <w:qFormat/>
    <w:rsid w:val="00D22D81"/>
    <w:rPr>
      <w:i/>
      <w:iCs/>
      <w:color w:val="0F4761" w:themeColor="accent1" w:themeShade="BF"/>
    </w:rPr>
  </w:style>
  <w:style w:type="paragraph" w:styleId="IntensivesZitat">
    <w:name w:val="Intense Quote"/>
    <w:basedOn w:val="Standard"/>
    <w:next w:val="Standard"/>
    <w:link w:val="IntensivesZitatZchn"/>
    <w:uiPriority w:val="30"/>
    <w:qFormat/>
    <w:rsid w:val="00D22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22D81"/>
    <w:rPr>
      <w:i/>
      <w:iCs/>
      <w:color w:val="0F4761" w:themeColor="accent1" w:themeShade="BF"/>
    </w:rPr>
  </w:style>
  <w:style w:type="character" w:styleId="IntensiverVerweis">
    <w:name w:val="Intense Reference"/>
    <w:basedOn w:val="Absatz-Standardschriftart"/>
    <w:uiPriority w:val="32"/>
    <w:qFormat/>
    <w:rsid w:val="00D22D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464</Words>
  <Characters>9754</Characters>
  <Application>Microsoft Office Word</Application>
  <DocSecurity>0</DocSecurity>
  <Lines>464</Lines>
  <Paragraphs>464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von Deylen</dc:creator>
  <cp:keywords/>
  <dc:description/>
  <cp:lastModifiedBy>Stefan von Deylen</cp:lastModifiedBy>
  <cp:revision>2</cp:revision>
  <dcterms:created xsi:type="dcterms:W3CDTF">2025-12-24T09:00:00Z</dcterms:created>
  <dcterms:modified xsi:type="dcterms:W3CDTF">2025-12-24T09:00:00Z</dcterms:modified>
</cp:coreProperties>
</file>