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5.3.2 Proportion of girls and women aged 15-49 years who have undergone female genital mutilation/cutting [5.3.2] (SH_STA_FGMS)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Calisto MT" w:asciiTheme="minorAscii" w:hAnsiTheme="minorAscii"/>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5.3: Eliminate all harmful practices, such as child, early and forced marriage and female genital mutilation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5.3.2: Proportion of girls and women aged 15-49 years who have undergone female genital mutilation/cutting,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rFonts w:hint="default"/>
                <w:b/>
                <w:bCs/>
                <w:lang w:val="en-CA"/>
              </w:rPr>
            </w:pPr>
            <w:r>
              <w:rPr>
                <w:rFonts w:hint="default"/>
                <w:b/>
                <w:bCs/>
                <w:lang w:val="en-CA"/>
              </w:rPr>
              <w:t>Definition:</w:t>
            </w:r>
          </w:p>
          <w:p>
            <w:pPr>
              <w:bidi w:val="0"/>
              <w:jc w:val="both"/>
            </w:pPr>
            <w:r>
              <w:t>Female genital mutilation or cutting (FGM/C) refers to all procedures involving partial or total removal of the female external genitalia or other injury to the female genital organs for non-medical reasons</w:t>
            </w:r>
            <w:r>
              <w:rPr>
                <w:rFonts w:hint="default"/>
                <w:lang w:val="en-CA"/>
              </w:rPr>
              <w:t>.</w:t>
            </w:r>
            <w: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Calibri" w:cstheme="minorHAnsi"/>
                <w:bCs/>
                <w:shd w:val="clear" w:color="auto" w:fill="FFFFFF"/>
              </w:rPr>
              <w:t xml:space="preserve"> Ghana M</w:t>
            </w:r>
            <w:r>
              <w:rPr>
                <w:rFonts w:eastAsia="Calibri" w:cstheme="minorHAnsi"/>
                <w:bCs/>
                <w:shd w:val="clear" w:color="auto" w:fill="FFFFFF"/>
                <w:lang w:val="en-CA"/>
              </w:rPr>
              <w:t xml:space="preserve">ultiple </w:t>
            </w:r>
            <w:r>
              <w:rPr>
                <w:rFonts w:eastAsia="Calibri" w:cstheme="minorHAnsi"/>
                <w:bCs/>
                <w:shd w:val="clear" w:color="auto" w:fill="FFFFFF"/>
              </w:rPr>
              <w:t>I</w:t>
            </w:r>
            <w:r>
              <w:rPr>
                <w:rFonts w:eastAsia="Calibri" w:cstheme="minorHAnsi"/>
                <w:bCs/>
                <w:shd w:val="clear" w:color="auto" w:fill="FFFFFF"/>
                <w:lang w:val="en-CA"/>
              </w:rPr>
              <w:t xml:space="preserve">ndicator </w:t>
            </w:r>
            <w:r>
              <w:rPr>
                <w:rFonts w:eastAsia="Calibri" w:cstheme="minorHAnsi"/>
                <w:bCs/>
                <w:shd w:val="clear" w:color="auto" w:fill="FFFFFF"/>
              </w:rPr>
              <w:t>C</w:t>
            </w:r>
            <w:r>
              <w:rPr>
                <w:rFonts w:eastAsia="Calibri" w:cstheme="minorHAnsi"/>
                <w:bCs/>
                <w:shd w:val="clear" w:color="auto" w:fill="FFFFFF"/>
                <w:lang w:val="en-CA"/>
              </w:rPr>
              <w:t xml:space="preserve">luster </w:t>
            </w:r>
            <w:r>
              <w:rPr>
                <w:rFonts w:eastAsia="Calibri" w:cstheme="minorHAnsi"/>
                <w:bCs/>
                <w:shd w:val="clear" w:color="auto" w:fill="FFFFFF"/>
              </w:rPr>
              <w:t>S</w:t>
            </w:r>
            <w:r>
              <w:rPr>
                <w:rFonts w:eastAsia="Calibri" w:cstheme="minorHAnsi"/>
                <w:bCs/>
                <w:shd w:val="clear" w:color="auto" w:fill="FFFFFF"/>
                <w:lang w:val="en-CA"/>
              </w:rPr>
              <w:t>urvey (MICS)</w:t>
            </w:r>
            <w:r>
              <w:rPr>
                <w:rFonts w:hint="default" w:eastAsia="Calibri" w:cstheme="minorHAnsi"/>
                <w:bCs/>
                <w:shd w:val="clear" w:color="auto" w:fill="FFFFFF"/>
                <w:lang w:val="en-CA"/>
              </w:rPr>
              <w:t xml:space="preserve">, </w:t>
            </w:r>
            <w:r>
              <w:rPr>
                <w:rFonts w:eastAsia="Calibri" w:cstheme="minorHAnsi"/>
                <w:bCs/>
                <w:shd w:val="clear" w:color="auto" w:fill="FFFFFF"/>
              </w:rPr>
              <w:t>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FGM is a violation of girls’ and women’s human rights. There is a large body of literature documenting the adverse health consequences of FGM over both the short and long term</w:t>
            </w:r>
            <w:r>
              <w:rPr>
                <w:rFonts w:hint="default"/>
                <w:lang w:val="en-CA"/>
              </w:rPr>
              <w:t>s</w:t>
            </w:r>
            <w:bookmarkStart w:id="38" w:name="_GoBack"/>
            <w:bookmarkEnd w:id="38"/>
            <w:r>
              <w:t>. The practice of FGM is a direct manifestation of gender inequality</w:t>
            </w:r>
            <w:r>
              <w:rPr>
                <w:rFonts w:hint="default"/>
                <w:lang w:val="en-CA"/>
              </w:rPr>
              <w:t>.</w:t>
            </w:r>
            <w:r>
              <w:t xml:space="preserve"> Since FGM is regarded as a traditional practice prejudicial to the health of children and is, in most cases, performed on minors, it violates the </w:t>
            </w:r>
            <w:r>
              <w:fldChar w:fldCharType="begin"/>
            </w:r>
            <w:r>
              <w:instrText xml:space="preserve"> HYPERLINK "https://www.ohchr.org/en/instruments-mechanisms/instruments/convention-rights-child" </w:instrText>
            </w:r>
            <w:r>
              <w:fldChar w:fldCharType="separate"/>
            </w:r>
            <w:r>
              <w:rPr>
                <w:rStyle w:val="18"/>
              </w:rPr>
              <w:t>Convention on the Rights of the Child</w:t>
            </w:r>
            <w:r>
              <w:fldChar w:fldCharType="end"/>
            </w:r>
            <w:r>
              <w:t xml:space="preserve">. Existing national legislation in </w:t>
            </w:r>
            <w:r>
              <w:rPr>
                <w:lang w:val="en-CA"/>
              </w:rPr>
              <w:t>Ghana</w:t>
            </w:r>
            <w:r>
              <w:t xml:space="preserve"> also include explicit bans against FGM.</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Number of girls and women aged 15-49 who have undergone FGM</w:t>
            </w:r>
            <w:r>
              <w:rPr>
                <w:rFonts w:hint="default"/>
                <w:lang w:val="en-CA"/>
              </w:rPr>
              <w:t xml:space="preserve"> </w:t>
            </w:r>
            <w:r>
              <w:t>divided by the total number of girls and women aged 15-49 in the population multiplied by 10</w:t>
            </w:r>
            <w:r>
              <w:rPr>
                <w:rFonts w:hint="default"/>
                <w:lang w:val="en-CA"/>
              </w:rPr>
              <w:t>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36C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08E2"/>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D76"/>
    <w:rsid w:val="00F54570"/>
    <w:rsid w:val="00F75853"/>
    <w:rsid w:val="00F7784D"/>
    <w:rsid w:val="00F8144F"/>
    <w:rsid w:val="00F8462A"/>
    <w:rsid w:val="00F862A7"/>
    <w:rsid w:val="00F93763"/>
    <w:rsid w:val="00F939A2"/>
    <w:rsid w:val="00F96E8D"/>
    <w:rsid w:val="00FA20D9"/>
    <w:rsid w:val="00FB03D0"/>
    <w:rsid w:val="00FD54D7"/>
    <w:rsid w:val="00FF642D"/>
    <w:rsid w:val="17655A0B"/>
    <w:rsid w:val="2309442B"/>
    <w:rsid w:val="64636CAA"/>
    <w:rsid w:val="6D5342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4DAA"/>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215791</Words>
  <Characters>1230010</Characters>
  <Lines>10250</Lines>
  <Paragraphs>2885</Paragraphs>
  <TotalTime>8</TotalTime>
  <ScaleCrop>false</ScaleCrop>
  <LinksUpToDate>false</LinksUpToDate>
  <CharactersWithSpaces>1442916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2021-10-18T13:06:00Z</dcterms:created>
  <dc:creator>Fanning, Stephen B (JMD)</dc:creator>
  <cp:lastModifiedBy>Doreen</cp:lastModifiedBy>
  <cp:lastPrinted>2020-04-16T14:23:00Z</cp:lastPrinted>
  <dcterms:modified xsi:type="dcterms:W3CDTF">2022-11-12T13:01:33Z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DA65760B5A2A4E7E85C1EA7FEF301E92</vt:lpwstr>
  </property>
</Properties>
</file>