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81BE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81BE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81BE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81BE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81BE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81BE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81BE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81BE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81BE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81BE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81BE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81BE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81BE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9BAD5C8" w:rsidR="00355460" w:rsidRPr="00E263EC" w:rsidRDefault="0079704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721EEF7" w:rsidR="00B66AF3" w:rsidRDefault="0079704E"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23989C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9B5CD3D" w:rsidR="0077584C" w:rsidRDefault="0079704E"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0B7EB4" w:rsidR="00F7784D" w:rsidRDefault="0079704E"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E32E9E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C9040B" w:rsidR="005377B9" w:rsidRPr="009F305C" w:rsidRDefault="0079704E" w:rsidP="009F305C">
            <w:r>
              <w:t xml:space="preserve"> </w:t>
            </w:r>
            <w: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50AC63A" w14:textId="77777777" w:rsidR="0079704E" w:rsidRDefault="0079704E" w:rsidP="0079704E">
            <w:pPr>
              <w:pStyle w:val="MGTHeader"/>
            </w:pPr>
            <w:r>
              <w:t xml:space="preserve">Target 1.b: Create sound policy frameworks at the national, regional and international levels, based on pro-poor and gender-sensitive development strategies, to support accelerated investment in poverty eradication action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09FCE41" w14:textId="77777777" w:rsidR="0079704E" w:rsidRDefault="0079704E" w:rsidP="0079704E">
            <w:pPr>
              <w:pStyle w:val="MIndHeader"/>
            </w:pPr>
            <w:r>
              <w:t>Indicator 1.b.1: Pro-poor public social spending</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02493BF" w14:textId="77777777" w:rsidR="0079704E" w:rsidRDefault="0079704E" w:rsidP="0079704E">
            <w:pPr>
              <w:pStyle w:val="MText"/>
            </w:pPr>
            <w:r>
              <w:t>UNICEF, Save the Children</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E00E0E6" w:rsidR="003E7389" w:rsidRPr="009F305C" w:rsidRDefault="00581BE6" w:rsidP="009F305C">
            <w:r>
              <w:t>Ministry of Health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C9FFE2A"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0505CC94" w14:textId="259B3B76"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14:paraId="42AE9469"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3E804D65" w14:textId="77777777" w:rsidR="0079704E" w:rsidRDefault="0079704E" w:rsidP="0079704E">
            <w:pPr>
              <w:shd w:val="clear" w:color="auto" w:fill="FFFFFF"/>
              <w:spacing w:after="0"/>
              <w:rPr>
                <w:rFonts w:eastAsiaTheme="minorEastAsia"/>
                <w:color w:val="4A4A4A"/>
                <w:sz w:val="21"/>
                <w:szCs w:val="21"/>
                <w:lang w:eastAsia="en-GB"/>
              </w:rPr>
            </w:pPr>
            <w:r>
              <w:rPr>
                <w:color w:val="4A4A4A"/>
                <w:sz w:val="21"/>
                <w:szCs w:val="21"/>
                <w:u w:val="single"/>
                <w:lang w:eastAsia="en-GB"/>
              </w:rPr>
              <w:t>Proportion of public spending:</w:t>
            </w:r>
            <w:r>
              <w:rPr>
                <w:color w:val="4A4A4A"/>
                <w:sz w:val="21"/>
                <w:szCs w:val="21"/>
                <w:lang w:eastAsia="en-GB"/>
              </w:rPr>
              <w:t xml:space="preserve"> Expenditures by governments on health, education and direct transfers (</w:t>
            </w:r>
            <w:r>
              <w:rPr>
                <w:rFonts w:eastAsia="Times New Roman" w:cs="Times New Roman"/>
                <w:color w:val="4A4A4A"/>
                <w:sz w:val="21"/>
                <w:szCs w:val="21"/>
                <w:lang w:eastAsia="en-GB"/>
              </w:rPr>
              <w:t>cash transfers and near-cash transfers</w:t>
            </w:r>
            <w:r>
              <w:rPr>
                <w:color w:val="4A4A4A"/>
                <w:sz w:val="21"/>
                <w:szCs w:val="21"/>
                <w:lang w:eastAsia="en-GB"/>
              </w:rPr>
              <w:t xml:space="preserve">).  </w:t>
            </w:r>
          </w:p>
          <w:p w14:paraId="319CB56E" w14:textId="77777777" w:rsidR="0079704E" w:rsidRDefault="0079704E" w:rsidP="0079704E">
            <w:pPr>
              <w:shd w:val="clear" w:color="auto" w:fill="FFFFFF"/>
              <w:spacing w:after="0"/>
              <w:rPr>
                <w:rFonts w:eastAsia="Times New Roman" w:cs="Times New Roman"/>
                <w:color w:val="4A4A4A"/>
                <w:sz w:val="21"/>
                <w:szCs w:val="21"/>
                <w:lang w:eastAsia="en-GB"/>
              </w:rPr>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BC9456" w:rsidR="0015178E" w:rsidRPr="009F305C" w:rsidRDefault="0079704E"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A52C1B3" w14:textId="77777777" w:rsidR="0079704E" w:rsidRDefault="0079704E" w:rsidP="0079704E">
            <w:pPr>
              <w:pStyle w:val="Caption"/>
              <w:spacing w:after="0"/>
              <w:rPr>
                <w:rFonts w:ascii="Sitka Subheading" w:eastAsia="Times New Roman" w:hAnsi="Sitka Subheading" w:cs="Arial"/>
                <w:color w:val="auto"/>
                <w:sz w:val="20"/>
                <w:szCs w:val="20"/>
                <w:lang w:val="en-GB" w:eastAsia="en-GB"/>
              </w:rPr>
            </w:pPr>
            <w:r w:rsidRPr="00200BC4">
              <w:rPr>
                <w:rFonts w:ascii="Sitka Subheading" w:eastAsia="Times New Roman" w:hAnsi="Sitka Subheading" w:cs="Arial"/>
                <w:color w:val="auto"/>
                <w:sz w:val="20"/>
                <w:szCs w:val="20"/>
                <w:lang w:val="en-GB" w:eastAsia="en-GB"/>
              </w:rPr>
              <w:t xml:space="preserve">National Budget and performance report of </w:t>
            </w:r>
            <w:proofErr w:type="spellStart"/>
            <w:r w:rsidRPr="00200BC4">
              <w:rPr>
                <w:rFonts w:ascii="Sitka Subheading" w:eastAsia="Times New Roman" w:hAnsi="Sitka Subheading" w:cs="Arial"/>
                <w:color w:val="auto"/>
                <w:sz w:val="20"/>
                <w:szCs w:val="20"/>
                <w:lang w:val="en-GB" w:eastAsia="en-GB"/>
              </w:rPr>
              <w:t>MoH</w:t>
            </w:r>
            <w:proofErr w:type="spellEnd"/>
            <w:r w:rsidRPr="00200BC4">
              <w:rPr>
                <w:rFonts w:ascii="Sitka Subheading" w:eastAsia="Times New Roman" w:hAnsi="Sitka Subheading" w:cs="Arial"/>
                <w:color w:val="auto"/>
                <w:sz w:val="20"/>
                <w:szCs w:val="20"/>
                <w:lang w:val="en-GB" w:eastAsia="en-GB"/>
              </w:rPr>
              <w:t xml:space="preserve">, </w:t>
            </w:r>
            <w:proofErr w:type="spellStart"/>
            <w:r w:rsidRPr="00200BC4">
              <w:rPr>
                <w:rFonts w:ascii="Sitka Subheading" w:eastAsia="Times New Roman" w:hAnsi="Sitka Subheading" w:cs="Arial"/>
                <w:color w:val="auto"/>
                <w:sz w:val="20"/>
                <w:szCs w:val="20"/>
                <w:lang w:val="en-GB" w:eastAsia="en-GB"/>
              </w:rPr>
              <w:t>MoE</w:t>
            </w:r>
            <w:proofErr w:type="spellEnd"/>
            <w:r w:rsidRPr="00200BC4">
              <w:rPr>
                <w:rFonts w:ascii="Sitka Subheading" w:eastAsia="Times New Roman" w:hAnsi="Sitka Subheading" w:cs="Arial"/>
                <w:color w:val="auto"/>
                <w:sz w:val="20"/>
                <w:szCs w:val="20"/>
                <w:lang w:val="en-GB" w:eastAsia="en-GB"/>
              </w:rPr>
              <w:t>, 2016 to 2018</w:t>
            </w:r>
          </w:p>
          <w:p w14:paraId="571CD33E" w14:textId="23DD9977" w:rsidR="0035311B" w:rsidRPr="009F305C" w:rsidRDefault="0079704E" w:rsidP="0079704E">
            <w:r>
              <w:rPr>
                <w:lang w:val="en-GB" w:eastAsia="en-GB"/>
              </w:rPr>
              <w:br w:type="column"/>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74AAC7"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14:paraId="3BC89638"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w:t>
            </w:r>
            <w:r>
              <w:rPr>
                <w:rFonts w:eastAsia="Times New Roman" w:cs="Times New Roman"/>
                <w:color w:val="4A4A4A"/>
                <w:sz w:val="21"/>
                <w:szCs w:val="21"/>
                <w:lang w:eastAsia="en-GB"/>
              </w:rPr>
              <w:lastRenderedPageBreak/>
              <w:t xml:space="preserve">poor). This is a strong measurement of the financial commitment governments make to target their services and transfers on the poor groups of society, reinforcing pro-poor development strategies. </w:t>
            </w:r>
          </w:p>
          <w:p w14:paraId="2E3517AC" w14:textId="1937BAD6" w:rsidR="007F2D9F" w:rsidRPr="009F305C" w:rsidRDefault="0079704E" w:rsidP="0079704E">
            <w:r>
              <w:rPr>
                <w:rFonts w:eastAsia="Times New Roman" w:cs="Times New Roman"/>
                <w:color w:val="4A4A4A"/>
                <w:sz w:val="21"/>
                <w:szCs w:val="21"/>
                <w:lang w:eastAsia="en-GB"/>
              </w:rPr>
              <w:t>Further developments of the methodology and improvements in data availability may allow to expand this indicator to other vulnerable groups, such as women and children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8A90BC2"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Feasibility: The indicator can be estimated for any country for which (a) a micro-data set detailing incomes or expenditures and services utilization (</w:t>
            </w:r>
            <w:proofErr w:type="gramStart"/>
            <w:r>
              <w:rPr>
                <w:rFonts w:eastAsia="Times New Roman" w:cs="Times New Roman"/>
                <w:color w:val="4A4A4A"/>
                <w:sz w:val="21"/>
                <w:szCs w:val="21"/>
                <w:lang w:eastAsia="en-GB"/>
              </w:rPr>
              <w:t>i.e.</w:t>
            </w:r>
            <w:proofErr w:type="gramEnd"/>
            <w:r>
              <w:rPr>
                <w:rFonts w:eastAsia="Times New Roman" w:cs="Times New Roman"/>
                <w:color w:val="4A4A4A"/>
                <w:sz w:val="21"/>
                <w:szCs w:val="21"/>
                <w:lang w:eastAsia="en-GB"/>
              </w:rPr>
              <w:t xml:space="preserve"> education, health, and cash transfers receipts) at the individual or household level exists and (b) a set of fiscal, administrative, or budgetary records detailing public expenditures at the program level is available.</w:t>
            </w:r>
          </w:p>
          <w:p w14:paraId="7834DBE1" w14:textId="77777777" w:rsidR="0079704E" w:rsidRDefault="0079704E" w:rsidP="0079704E">
            <w:pPr>
              <w:shd w:val="clear" w:color="auto" w:fill="FFFFFF"/>
              <w:spacing w:after="0"/>
              <w:rPr>
                <w:rFonts w:eastAsia="Times New Roman" w:cs="Times New Roman"/>
                <w:color w:val="4A4A4A"/>
                <w:sz w:val="21"/>
                <w:szCs w:val="21"/>
                <w:lang w:eastAsia="en-GB"/>
              </w:rPr>
            </w:pPr>
          </w:p>
          <w:p w14:paraId="1EE42EBE"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Suitability/relevance: The indicator provides an estimate how well public resources are allocated to sectors which disproportionally benefit the poor. This reflects the financial consequences of policy frameworks, which are based on pro-poor development strategies, which allows to measure progress on the SDG target 1.b.</w:t>
            </w:r>
          </w:p>
          <w:p w14:paraId="32E1E6FF" w14:textId="77777777" w:rsidR="0079704E" w:rsidRDefault="0079704E" w:rsidP="0079704E">
            <w:pPr>
              <w:shd w:val="clear" w:color="auto" w:fill="FFFFFF"/>
              <w:spacing w:after="0"/>
              <w:rPr>
                <w:rFonts w:eastAsia="Times New Roman" w:cs="Times New Roman"/>
                <w:color w:val="4A4A4A"/>
                <w:sz w:val="21"/>
                <w:szCs w:val="21"/>
                <w:lang w:eastAsia="en-GB"/>
              </w:rPr>
            </w:pPr>
          </w:p>
          <w:p w14:paraId="1F67926A" w14:textId="7777777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Relationship with other SDGs: The indicator could be compared with the one under SDG 10 on equity of fiscal policy. Countries should be encouraged to collect and </w:t>
            </w:r>
            <w:proofErr w:type="spellStart"/>
            <w:r>
              <w:rPr>
                <w:rFonts w:eastAsia="Times New Roman" w:cs="Times New Roman"/>
                <w:color w:val="4A4A4A"/>
                <w:sz w:val="21"/>
                <w:szCs w:val="21"/>
                <w:lang w:eastAsia="en-GB"/>
              </w:rPr>
              <w:t>analyse</w:t>
            </w:r>
            <w:proofErr w:type="spellEnd"/>
            <w:r>
              <w:rPr>
                <w:rFonts w:eastAsia="Times New Roman" w:cs="Times New Roman"/>
                <w:color w:val="4A4A4A"/>
                <w:sz w:val="21"/>
                <w:szCs w:val="21"/>
                <w:lang w:eastAsia="en-GB"/>
              </w:rPr>
              <w:t xml:space="preserve"> the data within a single process to create synergy and avoid unnecessary duplication.</w:t>
            </w:r>
          </w:p>
          <w:p w14:paraId="2BD3C051" w14:textId="77777777" w:rsidR="0079704E" w:rsidRDefault="0079704E" w:rsidP="0079704E">
            <w:pPr>
              <w:shd w:val="clear" w:color="auto" w:fill="FFFFFF"/>
              <w:spacing w:after="0"/>
              <w:rPr>
                <w:rFonts w:eastAsia="Times New Roman" w:cs="Times New Roman"/>
                <w:color w:val="4A4A4A"/>
                <w:sz w:val="21"/>
                <w:szCs w:val="21"/>
                <w:lang w:eastAsia="en-GB"/>
              </w:rPr>
            </w:pPr>
          </w:p>
          <w:p w14:paraId="285F0CAB" w14:textId="19B0B9C7" w:rsidR="0079704E" w:rsidRDefault="0079704E" w:rsidP="0079704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Limitations: The indicator does not take into effect the consequences of revenue-related fiscal activities, such as taxes or contributions to public insurance systems, on the poor. </w:t>
            </w:r>
            <w:r>
              <w:rPr>
                <w:color w:val="4A4A4A"/>
                <w:sz w:val="21"/>
                <w:szCs w:val="21"/>
                <w:lang w:eastAsia="en-GB"/>
              </w:rPr>
              <w:t xml:space="preserve">The proposed methodology does not currently expand to other groups, such as women or children. </w:t>
            </w:r>
          </w:p>
          <w:p w14:paraId="6175B298" w14:textId="77777777" w:rsidR="0079704E" w:rsidRDefault="0079704E" w:rsidP="0079704E">
            <w:pPr>
              <w:shd w:val="clear" w:color="auto" w:fill="FFFFFF"/>
              <w:spacing w:after="0"/>
              <w:rPr>
                <w:rFonts w:eastAsia="Times New Roman" w:cs="Times New Roman"/>
                <w:color w:val="4A4A4A"/>
                <w:sz w:val="21"/>
                <w:szCs w:val="21"/>
                <w:lang w:eastAsia="en-GB"/>
              </w:rPr>
            </w:pP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Caption">
    <w:name w:val="caption"/>
    <w:aliases w:val="Textbox"/>
    <w:basedOn w:val="Normal"/>
    <w:next w:val="Normal"/>
    <w:link w:val="CaptionChar"/>
    <w:uiPriority w:val="35"/>
    <w:unhideWhenUsed/>
    <w:qFormat/>
    <w:rsid w:val="0079704E"/>
    <w:pPr>
      <w:spacing w:after="200" w:line="240" w:lineRule="auto"/>
    </w:pPr>
    <w:rPr>
      <w:i/>
      <w:iCs/>
      <w:color w:val="44546A" w:themeColor="text2"/>
      <w:sz w:val="18"/>
      <w:szCs w:val="18"/>
    </w:rPr>
  </w:style>
  <w:style w:type="character" w:customStyle="1" w:styleId="CaptionChar">
    <w:name w:val="Caption Char"/>
    <w:aliases w:val="Textbox Char"/>
    <w:basedOn w:val="DefaultParagraphFont"/>
    <w:link w:val="Caption"/>
    <w:uiPriority w:val="35"/>
    <w:rsid w:val="0079704E"/>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22266428">
      <w:bodyDiv w:val="1"/>
      <w:marLeft w:val="0"/>
      <w:marRight w:val="0"/>
      <w:marTop w:val="0"/>
      <w:marBottom w:val="0"/>
      <w:divBdr>
        <w:top w:val="none" w:sz="0" w:space="0" w:color="auto"/>
        <w:left w:val="none" w:sz="0" w:space="0" w:color="auto"/>
        <w:bottom w:val="none" w:sz="0" w:space="0" w:color="auto"/>
        <w:right w:val="none" w:sz="0" w:space="0" w:color="auto"/>
      </w:divBdr>
    </w:div>
    <w:div w:id="6207219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0857045">
      <w:bodyDiv w:val="1"/>
      <w:marLeft w:val="0"/>
      <w:marRight w:val="0"/>
      <w:marTop w:val="0"/>
      <w:marBottom w:val="0"/>
      <w:divBdr>
        <w:top w:val="none" w:sz="0" w:space="0" w:color="auto"/>
        <w:left w:val="none" w:sz="0" w:space="0" w:color="auto"/>
        <w:bottom w:val="none" w:sz="0" w:space="0" w:color="auto"/>
        <w:right w:val="none" w:sz="0" w:space="0" w:color="auto"/>
      </w:divBdr>
    </w:div>
    <w:div w:id="100081407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8059261">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7852051">
      <w:bodyDiv w:val="1"/>
      <w:marLeft w:val="0"/>
      <w:marRight w:val="0"/>
      <w:marTop w:val="0"/>
      <w:marBottom w:val="0"/>
      <w:divBdr>
        <w:top w:val="none" w:sz="0" w:space="0" w:color="auto"/>
        <w:left w:val="none" w:sz="0" w:space="0" w:color="auto"/>
        <w:bottom w:val="none" w:sz="0" w:space="0" w:color="auto"/>
        <w:right w:val="none" w:sz="0" w:space="0" w:color="auto"/>
      </w:divBdr>
    </w:div>
    <w:div w:id="148296126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280517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6689051">
      <w:bodyDiv w:val="1"/>
      <w:marLeft w:val="0"/>
      <w:marRight w:val="0"/>
      <w:marTop w:val="0"/>
      <w:marBottom w:val="0"/>
      <w:divBdr>
        <w:top w:val="none" w:sz="0" w:space="0" w:color="auto"/>
        <w:left w:val="none" w:sz="0" w:space="0" w:color="auto"/>
        <w:bottom w:val="none" w:sz="0" w:space="0" w:color="auto"/>
        <w:right w:val="none" w:sz="0" w:space="0" w:color="auto"/>
      </w:divBdr>
    </w:div>
    <w:div w:id="21016327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12</Pages>
  <Words>215872</Words>
  <Characters>1230471</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2021-11-01T11:51:00Z</dcterms:created>
  <dcterms:modified xsi:type="dcterms:W3CDTF">2021-11-01T11:51:00Z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