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10.1.1 Growth rates of household expenditure or income per capita [10.1.1] (SI_HEI_TOTL)</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7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pPr>
            <w:r>
              <w:t>Goal 10: Reduce inequality within and among countries</w:t>
            </w:r>
            <w:bookmarkStart w:id="38" w:name="_GoBack"/>
            <w:bookmarkEnd w:id="38"/>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jc w:val="both"/>
            </w:pPr>
            <w:r>
              <w:t>Target 10.1: By 2030, progressively achieve and sustain income growth of the bottom 40 per cent of the population at a rate higher than the national average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1"/>
              <w:jc w:val="both"/>
            </w:pPr>
            <w:r>
              <w:t>Indicator 10.1.1: Growth rates of household expenditure or income per capita among the bottom 40 per cent of the population and the total population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pPr>
            <w:r>
              <w:t>1.1.1</w:t>
            </w:r>
          </w:p>
          <w:p>
            <w:pPr>
              <w:pStyle w:val="31"/>
            </w:pPr>
            <w:r>
              <w:t>1.2.1</w:t>
            </w:r>
          </w:p>
          <w:p>
            <w:pPr>
              <w:pStyle w:val="31"/>
            </w:pPr>
            <w:r>
              <w:t>10.2.1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t>World Bank (WB)</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heme="minorHAnsi"/>
                <w:color w:val="4A4A4A"/>
              </w:rPr>
            </w:pPr>
            <w:r>
              <w:rPr>
                <w:rStyle w:val="20"/>
                <w:rFonts w:cstheme="minorHAnsi"/>
                <w:color w:val="4A4A4A"/>
              </w:rPr>
              <w:t>Definition:</w:t>
            </w:r>
          </w:p>
          <w:p>
            <w:pPr>
              <w:pStyle w:val="55"/>
              <w:shd w:val="clear" w:color="auto" w:fill="FFFFFF"/>
              <w:spacing w:before="0" w:beforeAutospacing="0" w:after="0" w:afterAutospacing="0"/>
              <w:jc w:val="both"/>
              <w:rPr>
                <w:rFonts w:asciiTheme="minorHAnsi" w:hAnsiTheme="minorHAnsi" w:cstheme="minorHAnsi"/>
                <w:color w:val="4A4A4A"/>
                <w:sz w:val="22"/>
                <w:szCs w:val="22"/>
              </w:rPr>
            </w:pPr>
            <w:r>
              <w:rPr>
                <w:rFonts w:asciiTheme="minorHAnsi" w:hAnsiTheme="minorHAnsi" w:cstheme="minorHAnsi"/>
                <w:color w:val="4A4A4A"/>
                <w:sz w:val="22"/>
                <w:szCs w:val="22"/>
              </w:rPr>
              <w:t>The growth rate in the welfare aggregate of bottom 40</w:t>
            </w:r>
            <w:r>
              <w:rPr>
                <w:rFonts w:hint="default" w:asciiTheme="minorHAnsi" w:hAnsiTheme="minorHAnsi" w:cstheme="minorHAnsi"/>
                <w:color w:val="4A4A4A"/>
                <w:sz w:val="22"/>
                <w:szCs w:val="22"/>
                <w:lang w:val="en-CA"/>
              </w:rPr>
              <w:t xml:space="preserve"> per cent </w:t>
            </w:r>
            <w:r>
              <w:rPr>
                <w:rFonts w:asciiTheme="minorHAnsi" w:hAnsiTheme="minorHAnsi" w:cstheme="minorHAnsi"/>
                <w:color w:val="4A4A4A"/>
                <w:sz w:val="22"/>
                <w:szCs w:val="22"/>
              </w:rPr>
              <w:t>is computed as the annual average growth rate in per capita real consumption or income of the bottom 40</w:t>
            </w:r>
            <w:r>
              <w:rPr>
                <w:rFonts w:hint="default" w:asciiTheme="minorHAnsi" w:hAnsiTheme="minorHAnsi" w:cstheme="minorHAnsi"/>
                <w:color w:val="4A4A4A"/>
                <w:sz w:val="22"/>
                <w:szCs w:val="22"/>
                <w:lang w:val="en-CA"/>
              </w:rPr>
              <w:t xml:space="preserve"> per cent</w:t>
            </w:r>
            <w:r>
              <w:rPr>
                <w:rFonts w:asciiTheme="minorHAnsi" w:hAnsiTheme="minorHAnsi" w:cstheme="minorHAnsi"/>
                <w:color w:val="4A4A4A"/>
                <w:sz w:val="22"/>
                <w:szCs w:val="22"/>
              </w:rPr>
              <w:t xml:space="preserve"> of the income distribution in a country from household surveys over a roughly 5-year period. </w:t>
            </w:r>
          </w:p>
          <w:p>
            <w:pPr>
              <w:pStyle w:val="55"/>
              <w:shd w:val="clear" w:color="auto" w:fill="FFFFFF"/>
              <w:spacing w:before="0" w:beforeAutospacing="0" w:after="0" w:afterAutospacing="0"/>
              <w:jc w:val="both"/>
              <w:rPr>
                <w:rFonts w:asciiTheme="minorHAnsi" w:hAnsiTheme="minorHAnsi" w:cstheme="minorHAnsi"/>
                <w:color w:val="4A4A4A"/>
                <w:sz w:val="22"/>
                <w:szCs w:val="22"/>
              </w:rPr>
            </w:pPr>
            <w:r>
              <w:rPr>
                <w:rFonts w:asciiTheme="minorHAnsi" w:hAnsiTheme="minorHAnsi" w:cstheme="minorHAnsi"/>
                <w:color w:val="4A4A4A"/>
                <w:sz w:val="22"/>
                <w:szCs w:val="22"/>
              </w:rPr>
              <w:t>The national average growth rate in the welfare aggregate is computed as the annual average growth rate in per capita real consumption or income of the total population in a country from household surveys over a roughly 5-year period.</w:t>
            </w:r>
          </w:p>
          <w:p>
            <w:pPr>
              <w:pStyle w:val="55"/>
              <w:shd w:val="clear" w:color="auto" w:fill="FFFFFF"/>
              <w:spacing w:before="0" w:beforeAutospacing="0" w:after="0" w:afterAutospacing="0"/>
              <w:jc w:val="both"/>
              <w:rPr>
                <w:rFonts w:asciiTheme="minorHAnsi" w:hAnsiTheme="minorHAnsi" w:cstheme="minorHAnsi"/>
                <w:color w:val="4A4A4A"/>
                <w:sz w:val="22"/>
                <w:szCs w:val="22"/>
              </w:rPr>
            </w:pPr>
          </w:p>
          <w:p>
            <w:pPr>
              <w:shd w:val="clear" w:color="auto" w:fill="FFFFFF"/>
              <w:spacing w:after="0"/>
              <w:jc w:val="both"/>
              <w:rPr>
                <w:rFonts w:cstheme="minorHAnsi"/>
                <w:color w:val="4A4A4A"/>
              </w:rPr>
            </w:pPr>
            <w:r>
              <w:rPr>
                <w:rStyle w:val="20"/>
                <w:rFonts w:cstheme="minorHAnsi"/>
                <w:color w:val="4A4A4A"/>
              </w:rPr>
              <w:t>Concepts:</w:t>
            </w:r>
          </w:p>
          <w:p>
            <w:pPr>
              <w:pStyle w:val="55"/>
              <w:shd w:val="clear" w:color="auto" w:fill="FFFFFF"/>
              <w:spacing w:before="0" w:beforeAutospacing="0" w:after="0" w:afterAutospacing="0"/>
              <w:jc w:val="both"/>
              <w:rPr>
                <w:rFonts w:asciiTheme="minorHAnsi" w:hAnsiTheme="minorHAnsi" w:cstheme="minorHAnsi"/>
                <w:color w:val="4A4A4A"/>
                <w:sz w:val="22"/>
                <w:szCs w:val="22"/>
              </w:rPr>
            </w:pPr>
            <w:r>
              <w:rPr>
                <w:rFonts w:asciiTheme="minorHAnsi" w:hAnsiTheme="minorHAnsi" w:cstheme="minorHAnsi"/>
                <w:color w:val="4A4A4A"/>
                <w:sz w:val="22"/>
                <w:szCs w:val="22"/>
              </w:rPr>
              <w:t>Promoting shared prosperity is defined as fostering income growth of the bottom 40 per</w:t>
            </w:r>
            <w:r>
              <w:rPr>
                <w:rFonts w:hint="default" w:asciiTheme="minorHAnsi" w:hAnsiTheme="minorHAnsi" w:cstheme="minorHAnsi"/>
                <w:color w:val="4A4A4A"/>
                <w:sz w:val="22"/>
                <w:szCs w:val="22"/>
                <w:lang w:val="en-CA"/>
              </w:rPr>
              <w:t xml:space="preserve"> </w:t>
            </w:r>
            <w:r>
              <w:rPr>
                <w:rFonts w:asciiTheme="minorHAnsi" w:hAnsiTheme="minorHAnsi" w:cstheme="minorHAnsi"/>
                <w:color w:val="4A4A4A"/>
                <w:sz w:val="22"/>
                <w:szCs w:val="22"/>
              </w:rPr>
              <w:t>cent of the welfare distribution in every country and is measured by calculating the annualized growth of mean per capita real income or consumption of the bottom 40 per</w:t>
            </w:r>
            <w:r>
              <w:rPr>
                <w:rFonts w:hint="default" w:asciiTheme="minorHAnsi" w:hAnsiTheme="minorHAnsi" w:cstheme="minorHAnsi"/>
                <w:color w:val="4A4A4A"/>
                <w:sz w:val="22"/>
                <w:szCs w:val="22"/>
                <w:lang w:val="en-CA"/>
              </w:rPr>
              <w:t xml:space="preserve"> </w:t>
            </w:r>
            <w:r>
              <w:rPr>
                <w:rFonts w:asciiTheme="minorHAnsi" w:hAnsiTheme="minorHAnsi" w:cstheme="minorHAnsi"/>
                <w:color w:val="4A4A4A"/>
                <w:sz w:val="22"/>
                <w:szCs w:val="22"/>
              </w:rPr>
              <w:t xml:space="preserve">cent. </w:t>
            </w:r>
          </w:p>
          <w:p>
            <w:pPr>
              <w:pStyle w:val="55"/>
              <w:shd w:val="clear" w:color="auto" w:fill="FFFFFF"/>
              <w:spacing w:before="0" w:beforeAutospacing="0" w:after="0" w:afterAutospacing="0"/>
              <w:jc w:val="both"/>
              <w:rPr>
                <w:rFonts w:cstheme="minorHAnsi"/>
              </w:rPr>
            </w:pPr>
            <w:r>
              <w:rPr>
                <w:rFonts w:asciiTheme="minorHAnsi" w:hAnsiTheme="minorHAnsi" w:cstheme="minorHAnsi"/>
                <w:color w:val="4A4A4A"/>
                <w:sz w:val="22"/>
                <w:szCs w:val="22"/>
              </w:rPr>
              <w:t>The choice of the bottom 40 per</w:t>
            </w:r>
            <w:r>
              <w:rPr>
                <w:rFonts w:hint="default" w:asciiTheme="minorHAnsi" w:hAnsiTheme="minorHAnsi" w:cstheme="minorHAnsi"/>
                <w:color w:val="4A4A4A"/>
                <w:sz w:val="22"/>
                <w:szCs w:val="22"/>
                <w:lang w:val="en-CA"/>
              </w:rPr>
              <w:t xml:space="preserve"> </w:t>
            </w:r>
            <w:r>
              <w:rPr>
                <w:rFonts w:asciiTheme="minorHAnsi" w:hAnsiTheme="minorHAnsi" w:cstheme="minorHAnsi"/>
                <w:color w:val="4A4A4A"/>
                <w:sz w:val="22"/>
                <w:szCs w:val="22"/>
              </w:rPr>
              <w:t>cent as the target population is one of practical compromise.  Because boosting shared prosperity is a country-specific goal, there is no numerical target defined globally.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cstheme="minorHAnsi"/>
              </w:rPr>
              <w:t>Percent</w:t>
            </w:r>
            <w:r>
              <w:rPr>
                <w:rFonts w:hint="default" w:cstheme="minorHAnsi"/>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w:t>
            </w:r>
            <w:r>
              <w:rPr>
                <w:rFonts w:hint="default" w:cstheme="minorHAnsi"/>
                <w:iCs/>
                <w:lang w:val="en-CA"/>
              </w:rPr>
              <w:t xml:space="preserve">hana </w:t>
            </w:r>
            <w:r>
              <w:rPr>
                <w:rFonts w:cstheme="minorHAnsi"/>
                <w:iCs/>
              </w:rPr>
              <w:t>L</w:t>
            </w:r>
            <w:r>
              <w:rPr>
                <w:rFonts w:hint="default" w:cstheme="minorHAnsi"/>
                <w:iCs/>
                <w:lang w:val="en-CA"/>
              </w:rPr>
              <w:t xml:space="preserve">iving </w:t>
            </w:r>
            <w:r>
              <w:rPr>
                <w:rFonts w:cstheme="minorHAnsi"/>
                <w:iCs/>
              </w:rPr>
              <w:t>S</w:t>
            </w:r>
            <w:r>
              <w:rPr>
                <w:rFonts w:hint="default" w:cstheme="minorHAnsi"/>
                <w:iCs/>
                <w:lang w:val="en-CA"/>
              </w:rPr>
              <w:t xml:space="preserve">tandards </w:t>
            </w:r>
            <w:r>
              <w:rPr>
                <w:rFonts w:cstheme="minorHAnsi"/>
                <w:iCs/>
              </w:rPr>
              <w:t>S</w:t>
            </w:r>
            <w:r>
              <w:rPr>
                <w:rFonts w:hint="default" w:cstheme="minorHAnsi"/>
                <w:iCs/>
                <w:lang w:val="en-CA"/>
              </w:rPr>
              <w:t>urvey (GLSS)</w:t>
            </w:r>
            <w:r>
              <w:rPr>
                <w:rFonts w:cstheme="minorHAnsi"/>
                <w:iCs/>
              </w:rPr>
              <w:t xml:space="preserve"> 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cstheme="minorHAnsi"/>
              </w:rPr>
              <w:t>Ghana Statistical Service</w:t>
            </w:r>
            <w:r>
              <w:rPr>
                <w:rFonts w:hint="default" w:cstheme="minorHAnsi"/>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spacing w:before="100" w:after="100"/>
              <w:jc w:val="both"/>
            </w:pPr>
            <w:r>
              <w:rPr>
                <w:rFonts w:asciiTheme="minorHAnsi" w:hAnsiTheme="minorHAnsi" w:cstheme="minorHAnsi"/>
                <w:color w:val="000000"/>
                <w:sz w:val="22"/>
                <w:szCs w:val="22"/>
              </w:rPr>
              <w:t>Improvements in shared prosperity require both a growing economy and a consideration of equity.</w:t>
            </w:r>
            <w:r>
              <w:rPr>
                <w:rFonts w:asciiTheme="minorHAnsi" w:hAnsiTheme="minorHAnsi" w:cstheme="minorHAnsi"/>
                <w:color w:val="000000"/>
                <w:sz w:val="27"/>
                <w:szCs w:val="27"/>
              </w:rPr>
              <w:t xml:space="preserve"> </w:t>
            </w:r>
            <w:r>
              <w:rPr>
                <w:rFonts w:asciiTheme="minorHAnsi" w:hAnsiTheme="minorHAnsi" w:cstheme="minorHAnsi"/>
                <w:color w:val="000000"/>
                <w:sz w:val="22"/>
                <w:szCs w:val="22"/>
              </w:rPr>
              <w:t xml:space="preserve">Shared prosperity explicitly recognizes that while growth is necessary for improving economic welfare in a society, progress is measured by how those gains are shared with its poorest members. Moreover, in an inclusive society it is not sufficient to raise everyone above an absolute minimum standard of living; it must ensure that economic growth increases prosperity among the poor over time.The decision to measure shared prosperity based on income or consumption was not taken to ignore the many other dimensions of welfare. It is motivated by the need for an indicator that is easy to understand, communicate, and measure—though measurement challenges exist.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813076"/>
            <w:bookmarkStart w:id="28" w:name="_Toc36655613"/>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There is no available disaggregation for this indicator.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538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7176"/>
    <w:rsid w:val="00631019"/>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5E04"/>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7026"/>
    <w:rsid w:val="00AB65AE"/>
    <w:rsid w:val="00AD26C4"/>
    <w:rsid w:val="00AE7A74"/>
    <w:rsid w:val="00AF2FE1"/>
    <w:rsid w:val="00B137EE"/>
    <w:rsid w:val="00B13CEC"/>
    <w:rsid w:val="00B236F4"/>
    <w:rsid w:val="00B32CE0"/>
    <w:rsid w:val="00B66AF3"/>
    <w:rsid w:val="00B71AEA"/>
    <w:rsid w:val="00B74489"/>
    <w:rsid w:val="00B8102F"/>
    <w:rsid w:val="00B818CA"/>
    <w:rsid w:val="00B97297"/>
    <w:rsid w:val="00B979B1"/>
    <w:rsid w:val="00BA71B8"/>
    <w:rsid w:val="00BB553B"/>
    <w:rsid w:val="00BD7158"/>
    <w:rsid w:val="00C057EA"/>
    <w:rsid w:val="00C05B22"/>
    <w:rsid w:val="00C05CFA"/>
    <w:rsid w:val="00C141AF"/>
    <w:rsid w:val="00C175B6"/>
    <w:rsid w:val="00C210B4"/>
    <w:rsid w:val="00C22A2E"/>
    <w:rsid w:val="00C47725"/>
    <w:rsid w:val="00C605D4"/>
    <w:rsid w:val="00C94E79"/>
    <w:rsid w:val="00CA6252"/>
    <w:rsid w:val="00CA7FA5"/>
    <w:rsid w:val="00CB7B0D"/>
    <w:rsid w:val="00CC5969"/>
    <w:rsid w:val="00CD4533"/>
    <w:rsid w:val="00CF168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0F1A"/>
    <w:rsid w:val="00DF78A7"/>
    <w:rsid w:val="00E07CA1"/>
    <w:rsid w:val="00E263EC"/>
    <w:rsid w:val="00E27187"/>
    <w:rsid w:val="00E362E3"/>
    <w:rsid w:val="00E44F28"/>
    <w:rsid w:val="00E50AD6"/>
    <w:rsid w:val="00E51B2C"/>
    <w:rsid w:val="00E613BC"/>
    <w:rsid w:val="00E66CDC"/>
    <w:rsid w:val="00E67E00"/>
    <w:rsid w:val="00E74F47"/>
    <w:rsid w:val="00E77C7D"/>
    <w:rsid w:val="00E842C7"/>
    <w:rsid w:val="00E846C7"/>
    <w:rsid w:val="00E953F3"/>
    <w:rsid w:val="00EA6E73"/>
    <w:rsid w:val="00EB3760"/>
    <w:rsid w:val="00EC064B"/>
    <w:rsid w:val="00EC6024"/>
    <w:rsid w:val="00EE4BB5"/>
    <w:rsid w:val="00EE79CF"/>
    <w:rsid w:val="00EF3CB1"/>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5243"/>
    <w:rsid w:val="00FF642D"/>
    <w:rsid w:val="0E3F4EC1"/>
    <w:rsid w:val="35ED716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54EE"/>
    <w:rsid w:val="00296525"/>
    <w:rsid w:val="0036646D"/>
    <w:rsid w:val="005007A7"/>
    <w:rsid w:val="006153AA"/>
    <w:rsid w:val="0064052E"/>
    <w:rsid w:val="00760A1F"/>
    <w:rsid w:val="009D70B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215723</Words>
  <Characters>1229622</Characters>
  <Lines>10246</Lines>
  <Paragraphs>2884</Paragraphs>
  <TotalTime>1090</TotalTime>
  <ScaleCrop>false</ScaleCrop>
  <LinksUpToDate>false</LinksUpToDate>
  <CharactersWithSpaces>1442461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2021-11-04T12:00:00Z</dcterms:created>
  <dc:creator>Fanning, Stephen B (JMD)</dc:creator>
  <cp:lastModifiedBy>Doreen</cp:lastModifiedBy>
  <cp:lastPrinted>2020-04-16T14:23:00Z</cp:lastPrinted>
  <dcterms:modified xsi:type="dcterms:W3CDTF">2022-11-11T15:12:02Z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5B5E99E4BA664CBF8F19DC9126F5507D</vt:lpwstr>
  </property>
</Properties>
</file>