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r>
            <w:rPr>
              <w:rFonts w:asciiTheme="minorHAnsi" w:hAnsiTheme="minorHAnsi" w:eastAsiaTheme="minorHAnsi" w:cstheme="minorBidi"/>
              <w:sz w:val="22"/>
              <w:szCs w:val="22"/>
              <w:lang w:val="en-US" w:eastAsia="en-US" w:bidi="ar-SA"/>
            </w:rPr>
            <w:t>8.8.2 Level of national compliance with labour rights (freedom of association and collective bargaining) based on International Labour Organization (ILO) textual sources and national legislation [8.8.... (SL_LBR_NTLCPL)</w:t>
          </w:r>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1" w:name="_Toc37932742"/>
      <w:r>
        <w:t>Metadata Submission Form</w:t>
      </w:r>
      <w:bookmarkEnd w:id="1"/>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 w:name="_Toc36813071"/>
            <w:bookmarkStart w:id="3" w:name="_Toc37932743"/>
            <w:bookmarkStart w:id="4" w:name="_Toc36812571"/>
            <w:bookmarkStart w:id="5" w:name="_Toc36655608"/>
            <w:bookmarkStart w:id="6" w:name="_Toc36812684"/>
            <w:r>
              <w:rPr>
                <w:sz w:val="32"/>
                <w:szCs w:val="32"/>
              </w:rPr>
              <w:t>0. Indicator information</w:t>
            </w:r>
            <w:bookmarkEnd w:id="2"/>
            <w:bookmarkEnd w:id="3"/>
            <w:bookmarkEnd w:id="4"/>
            <w:bookmarkEnd w:id="5"/>
            <w:bookmarkEnd w:id="6"/>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jc w:val="both"/>
            </w:pPr>
            <w:r>
              <w:rPr>
                <w:rFonts w:hint="default"/>
              </w:rPr>
              <w:t>Goal 8: Promote sustained, inclusive and sustainable economic growth, full and productive employment and decent work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jc w:val="both"/>
            </w:pPr>
            <w:r>
              <w:rPr>
                <w:rFonts w:hint="default"/>
              </w:rPr>
              <w:t>Target 8.8: Protect labour rights and promote safe and secure working environments for all workers, including migrant workers, in particular women migrants, and those in precarious employment</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jc w:val="both"/>
              <w:rPr>
                <w:rFonts w:hint="default"/>
                <w:lang w:val="en-CA"/>
              </w:rPr>
            </w:pPr>
            <w:r>
              <w:rPr>
                <w:rFonts w:hint="default"/>
                <w:lang w:val="en-CA"/>
              </w:rPr>
              <w:t xml:space="preserve">Indicator </w:t>
            </w:r>
            <w:r>
              <w:t>8.8.2</w:t>
            </w:r>
            <w:r>
              <w:rPr>
                <w:rFonts w:hint="default"/>
                <w:lang w:val="en-CA"/>
              </w:rPr>
              <w:t>:</w:t>
            </w:r>
            <w:r>
              <w:t xml:space="preserve"> </w:t>
            </w:r>
            <w:r>
              <w:rPr>
                <w:rFonts w:hint="default"/>
                <w:lang w:val="en-CA"/>
              </w:rPr>
              <w:t>Level of national compliance with labour rights (freedom of association and collective bargaining) based on International Labour Organization (ILO) textual sources and national legislation, by sex and migrant status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bookmarkStart w:id="37" w:name="_GoBack"/>
            <w:bookmarkEnd w:id="37"/>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7" w:name="_Toc37932744"/>
            <w:bookmarkStart w:id="8" w:name="_Toc36812572"/>
            <w:bookmarkStart w:id="9" w:name="_Toc36813072"/>
            <w:bookmarkStart w:id="10" w:name="_Toc36812685"/>
            <w:bookmarkStart w:id="11" w:name="_Toc36655609"/>
            <w:r>
              <w:rPr>
                <w:sz w:val="32"/>
                <w:szCs w:val="32"/>
              </w:rPr>
              <w:t>1. Data reporter</w:t>
            </w:r>
            <w:bookmarkEnd w:id="7"/>
            <w:bookmarkEnd w:id="8"/>
            <w:bookmarkEnd w:id="9"/>
            <w:bookmarkEnd w:id="10"/>
            <w:bookmarkEnd w:id="11"/>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US"/>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2" w:name="_Toc36812573"/>
            <w:bookmarkStart w:id="13" w:name="_Toc36812686"/>
            <w:bookmarkStart w:id="14" w:name="_Toc36813073"/>
            <w:bookmarkStart w:id="15" w:name="_Toc37932745"/>
            <w:bookmarkStart w:id="16" w:name="_Toc36655610"/>
            <w:r>
              <w:rPr>
                <w:sz w:val="32"/>
                <w:szCs w:val="32"/>
              </w:rPr>
              <w:t>2. Definition, concepts, and classifications</w:t>
            </w:r>
            <w:bookmarkEnd w:id="12"/>
            <w:bookmarkEnd w:id="13"/>
            <w:bookmarkEnd w:id="14"/>
            <w:bookmarkEnd w:id="15"/>
            <w:bookmarkEnd w:id="16"/>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7" w:name="_Toc36813074"/>
            <w:bookmarkStart w:id="18" w:name="_Toc37932746"/>
            <w:r>
              <w:rPr>
                <w:sz w:val="32"/>
                <w:szCs w:val="32"/>
              </w:rPr>
              <w:t>3. Data source type and data collection method</w:t>
            </w:r>
            <w:bookmarkEnd w:id="17"/>
            <w:bookmarkEnd w:id="18"/>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US"/>
              </w:rPr>
            </w:p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19" w:name="_Toc36813075"/>
            <w:bookmarkStart w:id="20" w:name="_Toc36812688"/>
            <w:bookmarkStart w:id="21" w:name="_Toc37932747"/>
            <w:bookmarkStart w:id="22" w:name="_Toc36655612"/>
            <w:bookmarkStart w:id="23" w:name="_Toc36812575"/>
            <w:r>
              <w:rPr>
                <w:sz w:val="32"/>
                <w:szCs w:val="32"/>
              </w:rPr>
              <w:t>4. Other methodological considerations</w:t>
            </w:r>
            <w:bookmarkEnd w:id="19"/>
            <w:bookmarkEnd w:id="20"/>
            <w:bookmarkEnd w:id="21"/>
            <w:bookmarkEnd w:id="22"/>
            <w:bookmarkEnd w:id="23"/>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4" w:name="_Toc36812576"/>
            <w:bookmarkStart w:id="25" w:name="_Toc36813076"/>
            <w:bookmarkStart w:id="26" w:name="_Toc36655613"/>
            <w:bookmarkStart w:id="27" w:name="_Toc37932748"/>
            <w:bookmarkStart w:id="28" w:name="_Toc36812689"/>
            <w:r>
              <w:rPr>
                <w:sz w:val="32"/>
                <w:szCs w:val="32"/>
              </w:rPr>
              <w:t>5. Data availability and disaggregation</w:t>
            </w:r>
            <w:bookmarkEnd w:id="24"/>
            <w:bookmarkEnd w:id="25"/>
            <w:bookmarkEnd w:id="26"/>
            <w:bookmarkEnd w:id="27"/>
            <w:bookmarkEnd w:id="28"/>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29" w:name="_Toc37932751"/>
      <w:bookmarkStart w:id="30" w:name="Tips_and_Tricks"/>
      <w:bookmarkStart w:id="31" w:name="_Toc36655616"/>
      <w:bookmarkStart w:id="32"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bookmarkEnd w:id="30"/>
    <w:bookmarkEnd w:id="31"/>
    <w:p>
      <w:pPr>
        <w:pStyle w:val="32"/>
        <w:rPr>
          <w:sz w:val="28"/>
          <w:szCs w:val="28"/>
        </w:rPr>
      </w:pPr>
      <w:bookmarkStart w:id="33" w:name="_Toc37932752"/>
      <w:r>
        <w:rPr>
          <w:sz w:val="28"/>
          <w:szCs w:val="28"/>
        </w:rPr>
        <w:t>A. Definitions of Metadata Concepts</w:t>
      </w:r>
      <w:bookmarkEnd w:id="33"/>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4" w:name="_Toc37932753"/>
      <w:bookmarkStart w:id="35" w:name="Mapping"/>
      <w:r>
        <w:rPr>
          <w:sz w:val="28"/>
          <w:szCs w:val="28"/>
        </w:rPr>
        <w:t>B. Mapping of SDMX Detailed Concepts to IAEG-SDG File Format</w:t>
      </w:r>
      <w:bookmarkEnd w:id="34"/>
    </w:p>
    <w:bookmarkEnd w:id="35"/>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6" w:name="_Toc37932754"/>
      <w:r>
        <w:rPr>
          <w:sz w:val="28"/>
          <w:szCs w:val="28"/>
        </w:rPr>
        <w:t>C. Mapping of IAEG-SDG File Format to SDMX Detailed Concepts</w:t>
      </w:r>
      <w:bookmarkEnd w:id="36"/>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2"/>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CB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89716ED"/>
    <w:rsid w:val="0B9D3CBF"/>
    <w:rsid w:val="105002E5"/>
    <w:rsid w:val="17985ABB"/>
    <w:rsid w:val="20A75D5B"/>
    <w:rsid w:val="2592115F"/>
    <w:rsid w:val="2F8819D3"/>
    <w:rsid w:val="34824CA8"/>
    <w:rsid w:val="39BD1573"/>
    <w:rsid w:val="3CBE016E"/>
    <w:rsid w:val="3FB54248"/>
    <w:rsid w:val="43E03DEF"/>
    <w:rsid w:val="478B5BE9"/>
    <w:rsid w:val="4BE161BC"/>
    <w:rsid w:val="617B58CA"/>
    <w:rsid w:val="64E9140A"/>
    <w:rsid w:val="699930EB"/>
    <w:rsid w:val="779C1699"/>
    <w:rsid w:val="77E83BB0"/>
    <w:rsid w:val="7C4D0EAE"/>
    <w:rsid w:val="7CDF3CE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7</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Doreen</cp:lastModifiedBy>
  <cp:lastPrinted>2020-04-16T14:23:00Z</cp:lastPrinted>
  <dcterms:modified xsi:type="dcterms:W3CDTF">2022-11-11T05:53:03Z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635A274909C344D29D30DF0DD37B5ED3</vt:lpwstr>
  </property>
</Properties>
</file>