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4.1.1 Proportion of children and young people achieving a minimum proficiency level in reading and mathematics [4.1.1] (SE_TOT_PRFL)</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7932743"/>
            <w:bookmarkStart w:id="6" w:name="_Toc368125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4: Ensure inclusive and equitable quality education and promote lifelong learning opportunities for</w:t>
            </w:r>
            <w:r>
              <w:rPr>
                <w:rFonts w:hint="default"/>
                <w:lang w:val="en-CA"/>
              </w:rPr>
              <w:t xml:space="preserve"> </w:t>
            </w:r>
            <w:r>
              <w:rPr>
                <w:rFonts w:hint="default"/>
              </w:rPr>
              <w:t>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Bdr>
                <w:top w:val="none" w:color="auto" w:sz="0" w:space="0"/>
                <w:left w:val="none" w:color="auto" w:sz="0" w:space="0"/>
                <w:bottom w:val="none" w:color="auto" w:sz="0" w:space="0"/>
                <w:right w:val="none" w:color="auto" w:sz="0" w:space="0"/>
                <w:between w:val="none" w:color="auto" w:sz="0" w:space="0"/>
              </w:pBdr>
              <w:shd w:val="clear" w:color="auto" w:fill="F5F5F5"/>
              <w:spacing w:after="100" w:line="240" w:lineRule="auto"/>
              <w:rPr>
                <w:sz w:val="22"/>
                <w:szCs w:val="22"/>
              </w:rPr>
            </w:pPr>
            <w:r>
              <w:rPr>
                <w:color w:val="333333"/>
                <w:sz w:val="22"/>
                <w:szCs w:val="22"/>
              </w:rPr>
              <w:t>Target 4.1: By 2030, ensure that all girls and boys complete free, equitable and quality primary and secondary education leading to relevant and effective learning outcomes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lang w:val="en-CA"/>
              </w:rPr>
            </w:pPr>
            <w:r>
              <w:t>Indicator 4.1.1: Proportion of children and young people: (a) in grades 2/3; (b) at the end of primary; and (c) at the end of lower secondary achieving at least a minimum proficiency level in (i) reading and (ii) mathematics,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Bdr>
                <w:top w:val="none" w:color="auto" w:sz="0" w:space="0"/>
                <w:left w:val="none" w:color="auto" w:sz="0" w:space="0"/>
                <w:bottom w:val="none" w:color="auto" w:sz="0" w:space="0"/>
                <w:right w:val="none" w:color="auto" w:sz="0" w:space="0"/>
                <w:between w:val="none" w:color="auto" w:sz="0" w:space="0"/>
              </w:pBdr>
              <w:shd w:val="clear" w:color="auto" w:fill="F5F5F5"/>
              <w:spacing w:after="100" w:line="240" w:lineRule="auto"/>
              <w:rPr>
                <w:rFonts w:hint="default"/>
                <w:lang w:val="en-CA"/>
              </w:rPr>
            </w:pPr>
            <w:r>
              <w:rPr>
                <w:color w:val="333333"/>
                <w:sz w:val="22"/>
                <w:szCs w:val="22"/>
              </w:rPr>
              <w:t>The parity indices for this indicator are reported in SDG indicator 4.5.1</w:t>
            </w:r>
            <w:r>
              <w:rPr>
                <w:rFonts w:hint="default"/>
                <w:color w:val="333333"/>
                <w:sz w:val="22"/>
                <w:szCs w:val="22"/>
                <w:lang w:val="en-CA"/>
              </w:rPr>
              <w:t>.</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Bdr>
                <w:top w:val="none" w:color="auto" w:sz="0" w:space="0"/>
                <w:left w:val="none" w:color="auto" w:sz="0" w:space="0"/>
                <w:bottom w:val="none" w:color="auto" w:sz="0" w:space="0"/>
                <w:right w:val="none" w:color="auto" w:sz="0" w:space="0"/>
                <w:between w:val="none" w:color="auto" w:sz="0" w:space="0"/>
              </w:pBdr>
              <w:shd w:val="clear" w:color="auto" w:fill="F5F5F5"/>
              <w:spacing w:after="100" w:line="240" w:lineRule="auto"/>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655609"/>
            <w:bookmarkStart w:id="10" w:name="_Toc36813072"/>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655610"/>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b/>
                <w:bCs/>
                <w:color w:val="4A4A4A"/>
                <w:sz w:val="22"/>
                <w:szCs w:val="22"/>
              </w:rPr>
            </w:pPr>
            <w:r>
              <w:rPr>
                <w:b/>
                <w:bCs/>
                <w:color w:val="4A4A4A"/>
                <w:sz w:val="22"/>
                <w:szCs w:val="22"/>
              </w:rPr>
              <w:t>Definition:</w:t>
            </w:r>
          </w:p>
          <w:p>
            <w:r>
              <w:rPr>
                <w:color w:val="4A4A4A"/>
                <w:sz w:val="22"/>
                <w:szCs w:val="22"/>
              </w:rPr>
              <w:t>Percentage of children and young people achieving at least a minimum proficiency level in (i) reading and (ii) mathematics during primary education (Grade 2 or 3), at the end of primary education, and at the end of lower secondary education. The minimum proficiency level will be measured relative to new common reading and mathematics scales currently in development.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eastAsia="Arial" w:cstheme="minorHAnsi"/>
                <w:iCs/>
              </w:rPr>
              <w:t>Ghana National Education Assessment</w:t>
            </w:r>
            <w:r>
              <w:rPr>
                <w:rFonts w:hint="default" w:eastAsia="Arial" w:cstheme="minorHAnsi"/>
                <w:iCs/>
                <w:lang w:val="en-CA"/>
              </w:rPr>
              <w:t xml:space="preserve"> (GNEA)</w:t>
            </w:r>
            <w:r>
              <w:rPr>
                <w:rFonts w:eastAsia="Arial" w:cstheme="minorHAnsi"/>
                <w:iCs/>
              </w:rPr>
              <w:t>, 2016</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Education Service</w:t>
            </w:r>
            <w:r>
              <w:rPr>
                <w:rFonts w:hint="default"/>
                <w:lang w:val="en-CA"/>
              </w:rPr>
              <w:t xml:space="preserve"> (GES)</w:t>
            </w:r>
          </w:p>
          <w:p>
            <w:pPr>
              <w:rPr>
                <w:rFonts w:hint="default"/>
                <w:lang w:val="en-CA"/>
              </w:rPr>
            </w:pPr>
            <w:r>
              <w:t>Ministry of Education</w:t>
            </w:r>
            <w:r>
              <w:rPr>
                <w:rFonts w:hint="default"/>
                <w:lang w:val="en-CA"/>
              </w:rPr>
              <w:t xml:space="preserve">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655612"/>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The number of children and/or young people at the relevant stage of education (n) in year (t) achieving at least the pre-defined proficiency level in subject </w:t>
            </w:r>
            <w:r>
              <w:rPr>
                <w:rFonts w:hint="default"/>
                <w:lang w:val="en-CA"/>
              </w:rPr>
              <w:t>(</w:t>
            </w:r>
            <w:r>
              <w:t>s</w:t>
            </w:r>
            <w:r>
              <w:rPr>
                <w:rFonts w:hint="default"/>
                <w:lang w:val="en-CA"/>
              </w:rPr>
              <w:t>)</w:t>
            </w:r>
            <w:r>
              <w:t xml:space="preserve"> expressed as a percentage of the number of children and</w:t>
            </w:r>
            <w:r>
              <w:rPr>
                <w:rFonts w:hint="default"/>
                <w:lang w:val="en-CA"/>
              </w:rPr>
              <w:t>/</w:t>
            </w:r>
            <w:r>
              <w:t xml:space="preserve">or young people at stage of education </w:t>
            </w:r>
            <w:r>
              <w:rPr>
                <w:rFonts w:hint="default"/>
                <w:lang w:val="en-CA"/>
              </w:rPr>
              <w:t>(</w:t>
            </w:r>
            <w:r>
              <w:t>n</w:t>
            </w:r>
            <w:r>
              <w:rPr>
                <w:rFonts w:hint="default"/>
                <w:lang w:val="en-CA"/>
              </w:rPr>
              <w:t>)</w:t>
            </w:r>
            <w:r>
              <w:t xml:space="preserve">, in year </w:t>
            </w:r>
            <w:r>
              <w:rPr>
                <w:rFonts w:hint="default"/>
                <w:lang w:val="en-CA"/>
              </w:rPr>
              <w:t>(</w:t>
            </w:r>
            <w:r>
              <w:t>t</w:t>
            </w:r>
            <w:r>
              <w:rPr>
                <w:rFonts w:hint="default"/>
                <w:lang w:val="en-CA"/>
              </w:rPr>
              <w:t>)</w:t>
            </w:r>
            <w:r>
              <w:t>, in any proficiency level in subjects.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6655613"/>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 data is disaggregated by sex, educational levels and urban or rural areas.</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4B14"/>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CEA"/>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4116"/>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7CEA"/>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280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7D4C"/>
    <w:rsid w:val="009D6291"/>
    <w:rsid w:val="009D6F69"/>
    <w:rsid w:val="009E049D"/>
    <w:rsid w:val="009E5D6E"/>
    <w:rsid w:val="009F305C"/>
    <w:rsid w:val="00A167C6"/>
    <w:rsid w:val="00A200D3"/>
    <w:rsid w:val="00A242D8"/>
    <w:rsid w:val="00A3532A"/>
    <w:rsid w:val="00A35656"/>
    <w:rsid w:val="00A36E8B"/>
    <w:rsid w:val="00A4314D"/>
    <w:rsid w:val="00A4640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75A781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0CD7"/>
    <w:rsid w:val="001C2C82"/>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215596</Words>
  <Characters>1228902</Characters>
  <Lines>10240</Lines>
  <Paragraphs>2883</Paragraphs>
  <TotalTime>82</TotalTime>
  <ScaleCrop>false</ScaleCrop>
  <LinksUpToDate>false</LinksUpToDate>
  <CharactersWithSpaces>1441615</CharactersWithSpaces>
  <Application>WPS Office_11.2.0.11440_F1E327BC-269C-435d-A152-05C5408002CA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2021-10-18T12:35:00Z</dcterms:created>
  <dc:creator>Fanning, Stephen B (JMD)</dc:creator>
  <cp:lastModifiedBy>Naa Chardey</cp:lastModifiedBy>
  <cp:lastPrinted>2020-04-16T14:23:00Z</cp:lastPrinted>
  <dcterms:modified xsi:type="dcterms:W3CDTF">2023-03-17T15:54:36Z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1033-11.2.0.11440</vt:lpwstr>
  </property>
  <property fmtid="{D5CDD505-2E9C-101B-9397-08002B2CF9AE}" pid="4" name="ICV">
    <vt:lpwstr>24EF15C17D314A5F994BE189369AA8B7</vt:lpwstr>
  </property>
</Properties>
</file>