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6.1.1 Proportion of population using safely managed drinking water services [6.1.1] (SH_H2O_SAFE)</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684"/>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Target 6.1: By 2030, achieve universal and equitable access to safe and affordable drinking water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06"/>
            <w:r>
              <w:rPr>
                <w:rFonts w:eastAsia="Times New Roman" w:cs="Times New Roman"/>
                <w:color w:val="0D0D0D" w:themeColor="text1" w:themeTint="F2"/>
                <w:lang w:eastAsia="en-GB"/>
                <w14:textFill>
                  <w14:solidFill>
                    <w14:schemeClr w14:val="tx1">
                      <w14:lumMod w14:val="95000"/>
                      <w14:lumOff w14:val="5000"/>
                    </w14:schemeClr>
                  </w14:solidFill>
                </w14:textFill>
              </w:rPr>
              <w:t>Indicator 6.1.1: Proportion of population using safely managed drinking water services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pacing w:after="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pPr>
              <w:shd w:val="clear" w:color="auto" w:fill="FFFFFF"/>
              <w:contextualSpacing/>
              <w:rPr>
                <w:rFonts w:eastAsia="Times New Roman" w:cs="Times New Roman"/>
                <w:color w:val="4A4A4A"/>
                <w:sz w:val="21"/>
                <w:szCs w:val="21"/>
                <w:lang w:eastAsia="en-GB"/>
              </w:rPr>
            </w:pPr>
          </w:p>
          <w:p>
            <w:pPr>
              <w:shd w:val="clear" w:color="auto" w:fill="FFFFFF"/>
              <w:contextualSpacing/>
            </w:pPr>
            <w:r>
              <w:rPr>
                <w:rFonts w:eastAsia="Times New Roman" w:cs="Times New Roman"/>
                <w:color w:val="4A4A4A"/>
                <w:sz w:val="21"/>
                <w:szCs w:val="21"/>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7932744"/>
            <w:bookmarkStart w:id="10" w:name="_Toc36655609"/>
            <w:bookmarkStart w:id="11" w:name="_Toc36812685"/>
            <w:bookmarkStart w:id="12" w:name="_Toc36813072"/>
            <w:bookmarkStart w:id="13" w:name="_Toc36812572"/>
            <w:r>
              <w:rPr>
                <w:sz w:val="32"/>
                <w:szCs w:val="32"/>
              </w:rPr>
              <w:t>1. Data reporter</w:t>
            </w:r>
            <w:bookmarkEnd w:id="9"/>
            <w:bookmarkEnd w:id="10"/>
            <w:bookmarkEnd w:id="11"/>
            <w:bookmarkEnd w:id="12"/>
            <w:bookmarkEnd w:id="13"/>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655610"/>
            <w:bookmarkStart w:id="15" w:name="_Toc36813073"/>
            <w:bookmarkStart w:id="16" w:name="_Toc37932745"/>
            <w:bookmarkStart w:id="17" w:name="_Toc36812573"/>
            <w:bookmarkStart w:id="18" w:name="_Toc36812686"/>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b/>
                <w:bCs/>
                <w:color w:val="4A4A4A"/>
                <w:sz w:val="22"/>
                <w:szCs w:val="22"/>
                <w:lang w:eastAsia="en-GB"/>
              </w:rPr>
            </w:pPr>
            <w:r>
              <w:rPr>
                <w:rFonts w:eastAsia="Times New Roman" w:cs="Times New Roman"/>
                <w:b/>
                <w:bCs/>
                <w:color w:val="4A4A4A"/>
                <w:sz w:val="22"/>
                <w:szCs w:val="22"/>
                <w:lang w:eastAsia="en-GB"/>
              </w:rPr>
              <w:t>Definition:</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r>
              <w:rPr>
                <w:rFonts w:eastAsia="Times New Roman" w:cs="Times New Roman"/>
                <w:color w:val="4A4A4A"/>
                <w:sz w:val="22"/>
                <w:szCs w:val="22"/>
                <w:lang w:val="en-CA" w:eastAsia="en-GB"/>
              </w:rPr>
              <w:t>fecal</w:t>
            </w:r>
            <w:r>
              <w:rPr>
                <w:rFonts w:eastAsia="Times New Roman" w:cs="Times New Roman"/>
                <w:color w:val="4A4A4A"/>
                <w:sz w:val="22"/>
                <w:szCs w:val="22"/>
                <w:lang w:eastAsia="en-GB"/>
              </w:rPr>
              <w:t xml:space="preserve"> (and priority chemical) contamination. ‘Improved’ drinking water sources include: piped water into dwelling, yard or plot; public taps or standpipes; boreholes or </w:t>
            </w:r>
            <w:r>
              <w:rPr>
                <w:rFonts w:eastAsia="Times New Roman" w:cs="Times New Roman"/>
                <w:color w:val="4A4A4A"/>
                <w:sz w:val="22"/>
                <w:szCs w:val="22"/>
                <w:lang w:val="en-CA" w:eastAsia="en-GB"/>
              </w:rPr>
              <w:t>tube wells</w:t>
            </w:r>
            <w:r>
              <w:rPr>
                <w:rFonts w:eastAsia="Times New Roman" w:cs="Times New Roman"/>
                <w:color w:val="4A4A4A"/>
                <w:sz w:val="22"/>
                <w:szCs w:val="22"/>
                <w:lang w:eastAsia="en-GB"/>
              </w:rPr>
              <w:t>; protected dug wells; protected springs; packaged water; delivered water and rainwater.</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b/>
                <w:bCs/>
                <w:color w:val="4A4A4A"/>
                <w:sz w:val="22"/>
                <w:szCs w:val="22"/>
                <w:lang w:eastAsia="en-GB"/>
              </w:rPr>
              <w:t>Concepts:</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A water source is considered to be ‘located on premises’ if the point of collection is within the dwelling, yard, or plot.</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rPr>
                <w:rFonts w:eastAsia="Times New Roman" w:cs="Times New Roman"/>
                <w:color w:val="4A4A4A"/>
                <w:sz w:val="22"/>
                <w:szCs w:val="22"/>
                <w:lang w:eastAsia="en-GB"/>
              </w:rPr>
            </w:pPr>
            <w:r>
              <w:rPr>
                <w:rFonts w:eastAsia="Times New Roman" w:cs="Times New Roman"/>
                <w:color w:val="4A4A4A"/>
                <w:sz w:val="22"/>
                <w:szCs w:val="22"/>
                <w:lang w:eastAsia="en-GB"/>
              </w:rPr>
              <w:t xml:space="preserve">‘Available when needed’: </w:t>
            </w:r>
            <w:r>
              <w:rPr>
                <w:rFonts w:hint="default" w:eastAsia="Times New Roman" w:cs="Times New Roman"/>
                <w:color w:val="4A4A4A"/>
                <w:sz w:val="22"/>
                <w:szCs w:val="22"/>
                <w:lang w:val="en-CA" w:eastAsia="en-GB"/>
              </w:rPr>
              <w:t>H</w:t>
            </w:r>
            <w:r>
              <w:rPr>
                <w:rFonts w:eastAsia="Times New Roman" w:cs="Times New Roman"/>
                <w:color w:val="4A4A4A"/>
                <w:sz w:val="22"/>
                <w:szCs w:val="22"/>
                <w:lang w:eastAsia="en-GB"/>
              </w:rPr>
              <w:t>ouseholds are able to access sufficient quantities of water when needed.</w:t>
            </w:r>
          </w:p>
          <w:p>
            <w:pPr>
              <w:shd w:val="clear" w:color="auto" w:fill="FFFFFF"/>
              <w:contextualSpacing/>
              <w:jc w:val="both"/>
              <w:rPr>
                <w:rFonts w:eastAsia="Times New Roman" w:cs="Times New Roman"/>
                <w:color w:val="4A4A4A"/>
                <w:sz w:val="22"/>
                <w:szCs w:val="22"/>
                <w:lang w:eastAsia="en-GB"/>
              </w:rPr>
            </w:pPr>
          </w:p>
          <w:p>
            <w:pPr>
              <w:shd w:val="clear" w:color="auto" w:fill="FFFFFF"/>
              <w:contextualSpacing/>
              <w:jc w:val="both"/>
            </w:pPr>
            <w:r>
              <w:rPr>
                <w:rFonts w:eastAsia="Times New Roman" w:cs="Times New Roman"/>
                <w:color w:val="4A4A4A"/>
                <w:sz w:val="22"/>
                <w:szCs w:val="22"/>
                <w:lang w:eastAsia="en-GB"/>
              </w:rPr>
              <w:t>‘Free from faecal and priority chemical contamination’: water complies with relevant national or local standards.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 xml:space="preserve">age </w:t>
            </w:r>
            <w:r>
              <w:rPr>
                <w:lang w:val="en-CA"/>
              </w:rPr>
              <w: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cstheme="minorHAnsi"/>
              </w:rPr>
            </w:pPr>
            <w:r>
              <w:rPr>
                <w:rFonts w:cstheme="minorHAnsi"/>
              </w:rPr>
              <w:t>G</w:t>
            </w:r>
            <w:r>
              <w:rPr>
                <w:rFonts w:cstheme="minorHAnsi"/>
                <w:lang w:val="en-CA"/>
              </w:rPr>
              <w:t xml:space="preserve">hana </w:t>
            </w:r>
            <w:r>
              <w:rPr>
                <w:rFonts w:cstheme="minorHAnsi"/>
              </w:rPr>
              <w:t>L</w:t>
            </w:r>
            <w:r>
              <w:rPr>
                <w:rFonts w:cstheme="minorHAnsi"/>
                <w:lang w:val="en-CA"/>
              </w:rPr>
              <w:t xml:space="preserve">iving </w:t>
            </w:r>
            <w:r>
              <w:rPr>
                <w:rFonts w:cstheme="minorHAnsi"/>
              </w:rPr>
              <w:t>S</w:t>
            </w:r>
            <w:r>
              <w:rPr>
                <w:rFonts w:cstheme="minorHAnsi"/>
                <w:lang w:val="en-CA"/>
              </w:rPr>
              <w:t xml:space="preserve">tandards </w:t>
            </w:r>
            <w:r>
              <w:rPr>
                <w:rFonts w:cstheme="minorHAnsi"/>
              </w:rPr>
              <w:t>S</w:t>
            </w:r>
            <w:r>
              <w:rPr>
                <w:rFonts w:cstheme="minorHAnsi"/>
                <w:lang w:val="en-CA"/>
              </w:rPr>
              <w:t>urvey (GLSS)</w:t>
            </w:r>
            <w:r>
              <w:rPr>
                <w:rFonts w:cstheme="minorHAnsi"/>
              </w:rPr>
              <w:t xml:space="preserve"> Round 7, 2019</w:t>
            </w:r>
          </w:p>
          <w:p>
            <w:pPr>
              <w:pStyle w:val="7"/>
              <w:spacing w:after="0"/>
              <w:rPr>
                <w:rFonts w:eastAsia="Calibri" w:cstheme="minorHAnsi"/>
                <w:i w:val="0"/>
                <w:iCs w:val="0"/>
                <w:sz w:val="22"/>
                <w:szCs w:val="22"/>
              </w:rPr>
            </w:pPr>
            <w:r>
              <w:rPr>
                <w:rFonts w:eastAsia="Calibri" w:cstheme="minorHAnsi"/>
                <w:i w:val="0"/>
                <w:iCs w:val="0"/>
                <w:sz w:val="22"/>
                <w:szCs w:val="22"/>
              </w:rPr>
              <w:br w:type="column"/>
            </w:r>
          </w:p>
          <w:p>
            <w:pPr>
              <w:rPr>
                <w:rFonts w:hint="default"/>
                <w:lang w:val="en-CA"/>
              </w:rPr>
            </w:pPr>
            <w:r>
              <w:rPr>
                <w:rFonts w:cstheme="minorHAnsi"/>
              </w:rPr>
              <w:t>Ghana M</w:t>
            </w:r>
            <w:r>
              <w:rPr>
                <w:rFonts w:cstheme="minorHAnsi"/>
                <w:lang w:val="en-CA"/>
              </w:rPr>
              <w:t xml:space="preserve">ultiple </w:t>
            </w:r>
            <w:r>
              <w:rPr>
                <w:rFonts w:cstheme="minorHAnsi"/>
              </w:rPr>
              <w:t>I</w:t>
            </w:r>
            <w:r>
              <w:rPr>
                <w:rFonts w:cstheme="minorHAnsi"/>
                <w:lang w:val="en-CA"/>
              </w:rPr>
              <w:t xml:space="preserve">ndicator </w:t>
            </w:r>
            <w:r>
              <w:rPr>
                <w:rFonts w:cstheme="minorHAnsi"/>
              </w:rPr>
              <w:t>C</w:t>
            </w:r>
            <w:r>
              <w:rPr>
                <w:rFonts w:cstheme="minorHAnsi"/>
                <w:lang w:val="en-CA"/>
              </w:rPr>
              <w:t xml:space="preserve">luster </w:t>
            </w:r>
            <w:r>
              <w:rPr>
                <w:rFonts w:cstheme="minorHAnsi"/>
              </w:rPr>
              <w:t>S</w:t>
            </w:r>
            <w:r>
              <w:rPr>
                <w:rFonts w:cstheme="minorHAnsi"/>
                <w:lang w:val="en-CA"/>
              </w:rPr>
              <w:t>urvey (MICS)</w:t>
            </w:r>
            <w:r>
              <w:rPr>
                <w:rFonts w:hint="default" w:cstheme="minorHAnsi"/>
                <w:lang w:val="en-CA"/>
              </w:rPr>
              <w:t>,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Access to safe drinking water is essential for good health, welfare and productivity and is widely recognized as a human right. Drinking water may be contaminated with human or animal faeces containing pathogens or with chemical and physical contaminants, leading to harmful effects on health. While improving water quality is critical to prevent the transmission of many diseases (such </w:t>
            </w:r>
            <w:bookmarkStart w:id="39" w:name="_GoBack"/>
            <w:bookmarkEnd w:id="39"/>
            <w:r>
              <w:t>as diarrhoea which exacerbates malnutrition and remains a leading global cause of child deaths), improving the accessibility and availability of drinking water is equally important for health and welfare, particularly for women and girls who often bear the primary responsibility for collecting drinking water from distant sources.  As a result, the SDG indicator 6.1.1 is designed to address safe management of drinking water services, including dimensions of accessibility, availability and quality.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color w:val="212529"/>
                <w:shd w:val="clear" w:color="auto" w:fill="FFFFFF"/>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689"/>
            <w:bookmarkStart w:id="28" w:name="_Toc36812576"/>
            <w:bookmarkStart w:id="29" w:name="_Toc37932748"/>
            <w:bookmarkStart w:id="30" w:name="_Toc36655613"/>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by urban and rural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"https://www.who.int/publications/i/item/9789241549950" </w:instrText>
            </w:r>
            <w:r>
              <w:rPr>
                <w:rFonts w:hint="default"/>
              </w:rPr>
              <w:fldChar w:fldCharType="separate"/>
            </w:r>
            <w:r>
              <w:rPr>
                <w:rStyle w:val="19"/>
                <w:rFonts w:hint="default"/>
              </w:rPr>
              <w:t>https://www.who.int/publications/i/item/9789241549950</w:t>
            </w:r>
            <w:r>
              <w:rPr>
                <w:rFonts w:hint="default"/>
              </w:rPr>
              <w:fldChar w:fldCharType="end"/>
            </w: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0949"/>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538E"/>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04BF6"/>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2756328"/>
    <w:rsid w:val="447B6986"/>
    <w:rsid w:val="455253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8775B"/>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215881</Words>
  <Characters>1230526</Characters>
  <Lines>10254</Lines>
  <Paragraphs>2887</Paragraphs>
  <TotalTime>25</TotalTime>
  <ScaleCrop>false</ScaleCrop>
  <LinksUpToDate>false</LinksUpToDate>
  <CharactersWithSpaces>1443520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2021-11-03T13:50:00Z</dcterms:created>
  <dc:creator>Fanning, Stephen B (JMD)</dc:creator>
  <cp:lastModifiedBy>Doreen</cp:lastModifiedBy>
  <cp:lastPrinted>2020-04-16T14:23:00Z</cp:lastPrinted>
  <dcterms:modified xsi:type="dcterms:W3CDTF">2022-11-09T13:16:27Z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A76B176ABBD646D582D50F182B635C20</vt:lpwstr>
  </property>
</Properties>
</file>