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rPr>
          <w:color w:val="595959" w:themeColor="text1" w:themeTint="A6"/>
          <w14:textFill>
            <w14:solidFill>
              <w14:schemeClr w14:val="tx1">
                <w14:lumMod w14:val="65000"/>
                <w14:lumOff w14:val="35000"/>
              </w14:schemeClr>
            </w14:solidFill>
          </w14:textFill>
        </w:rPr>
      </w:pPr>
      <w:r>
        <w:rPr>
          <w:color w:val="595959" w:themeColor="text1" w:themeTint="A6"/>
          <w14:textFill>
            <w14:solidFill>
              <w14:schemeClr w14:val="tx1">
                <w14:lumMod w14:val="65000"/>
                <w14:lumOff w14:val="35000"/>
              </w14:schemeClr>
            </w14:solidFill>
          </w14:textFill>
        </w:rP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7.2.1 Renewable energy share in the total final energy consumption [7.2.1] (EG_FEC_RNEW)</w:t>
          </w:r>
          <w:bookmarkEnd w:id="1"/>
        </w:p>
      </w:sdtContent>
    </w:sdt>
    <w:permEnd w:id="1"/>
    <w:p>
      <w:pPr>
        <w:spacing w:after="0"/>
        <w:rPr>
          <w:sz w:val="26"/>
          <w:szCs w:val="26"/>
        </w:rPr>
      </w:pPr>
    </w:p>
    <w:p>
      <w:pPr>
        <w:spacing w:after="0"/>
        <w:rPr>
          <w:sz w:val="26"/>
          <w:szCs w:val="26"/>
        </w:rPr>
      </w:pPr>
      <w:r>
        <w:rPr>
          <w:sz w:val="26"/>
          <w:szCs w:val="26"/>
        </w:rPr>
        <w:pict>
          <v:shape id="_x0000_i1025" o:spt="75" type="#_x0000_t75" style="height:24pt;width:72pt;" filled="f" o:preferrelative="t" stroked="f" coordsize="21600,21600">
            <v:path/>
            <v:fill on="f" focussize="0,0"/>
            <v:stroke on="f" joinstyle="miter"/>
            <v:imagedata r:id="rId8" o:title=""/>
            <o:lock v:ext="edit" aspectratio="t"/>
            <w10:wrap type="none"/>
            <w10:anchorlock/>
          </v:shape>
        </w:pict>
      </w:r>
      <w:r>
        <w:rPr>
          <w:sz w:val="26"/>
          <w:szCs w:val="26"/>
        </w:rPr>
        <w:t xml:space="preserve">   </w:t>
      </w:r>
      <w:r>
        <w:rPr>
          <w:sz w:val="26"/>
          <w:szCs w:val="26"/>
        </w:rPr>
        <w:pict>
          <v:shape id="_x0000_i1026" o:spt="75" type="#_x0000_t75" style="height:24pt;width:91.5pt;" filled="f" o:preferrelative="t" stroked="f" coordsize="21600,21600">
            <v:path/>
            <v:fill on="f" focussize="0,0"/>
            <v:stroke on="f" joinstyle="miter"/>
            <v:imagedata r:id="rId9" o:title=""/>
            <o:lock v:ext="edit" aspectratio="t"/>
            <w10:wrap type="none"/>
            <w10:anchorlock/>
          </v:shape>
        </w:pi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pict>
          <v:shape id="_x0000_i1027" o:spt="75" type="#_x0000_t75" style="height:24pt;width:140.25pt;" filled="f" o:preferrelative="t" stroked="f" coordsize="21600,21600">
            <v:path/>
            <v:fill on="f" focussize="0,0"/>
            <v:stroke on="f" joinstyle="miter"/>
            <v:imagedata r:id="rId10" o:title=""/>
            <o:lock v:ext="edit" aspectratio="t"/>
            <w10:wrap type="none"/>
            <w10:anchorlock/>
          </v:shape>
        </w:pict>
      </w:r>
      <w:r>
        <w:t xml:space="preserve">             </w:t>
      </w:r>
      <w:r>
        <w:pict>
          <v:shape id="_x0000_i1028" o:spt="75" type="#_x0000_t75" style="height:24pt;width:200.25pt;" filled="f" o:preferrelative="t" stroked="f" coordsize="21600,21600">
            <v:path/>
            <v:fill on="f" focussize="0,0"/>
            <v:stroke on="f" joinstyle="miter"/>
            <v:imagedata r:id="rId11" o:title=""/>
            <o:lock v:ext="edit" aspectratio="t"/>
            <w10:wrap type="none"/>
            <w10:anchorlock/>
          </v:shape>
        </w:pi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571"/>
            <w:bookmarkStart w:id="4" w:name="_Toc36813071"/>
            <w:bookmarkStart w:id="5" w:name="_Toc36655608"/>
            <w:bookmarkStart w:id="6" w:name="_Toc37932743"/>
            <w:bookmarkStart w:id="7" w:name="_Toc36812684"/>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rPr>
                <w:rFonts w:asciiTheme="minorHAnsi" w:hAnsiTheme="minorHAnsi" w:cstheme="minorHAnsi"/>
                <w:szCs w:val="22"/>
              </w:rPr>
            </w:pPr>
            <w:r>
              <w:t>Goal 7: Ensure access to affordable, reliable, sustainable and modern energy for all</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bidi w:val="0"/>
              <w:rPr>
                <w:szCs w:val="22"/>
              </w:rPr>
            </w:pPr>
            <w:r>
              <w:t>Target 7.2: By 2030, increase substantially the share of renewable energy in the global energy mix</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pPr>
            <w:r>
              <w:t>Indicator 7.2.1: Renewable energy share in the total final energy consumption</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pPr>
              <w:rPr>
                <w:lang w:val="en-CA"/>
              </w:rPr>
            </w:p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pStyle w:val="29"/>
              <w:rPr>
                <w:sz w:val="22"/>
                <w:szCs w:val="22"/>
              </w:rPr>
            </w:pPr>
            <w:r>
              <w:rPr>
                <w:sz w:val="22"/>
                <w:szCs w:val="22"/>
              </w:rPr>
              <w:t>9.4.1</w:t>
            </w:r>
          </w:p>
          <w:p>
            <w:pPr>
              <w:pStyle w:val="29"/>
            </w:pPr>
            <w:r>
              <w:rPr>
                <w:sz w:val="22"/>
                <w:szCs w:val="22"/>
              </w:rPr>
              <w:t>13.2.2</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29"/>
              <w:rPr>
                <w:sz w:val="22"/>
                <w:szCs w:val="22"/>
              </w:rPr>
            </w:pPr>
            <w:r>
              <w:rPr>
                <w:sz w:val="22"/>
                <w:szCs w:val="22"/>
              </w:rPr>
              <w:t xml:space="preserve">International Energy Agency (IEA) </w:t>
            </w:r>
          </w:p>
          <w:p>
            <w:pPr>
              <w:pStyle w:val="29"/>
              <w:rPr>
                <w:sz w:val="22"/>
                <w:szCs w:val="22"/>
              </w:rPr>
            </w:pPr>
            <w:r>
              <w:rPr>
                <w:sz w:val="22"/>
                <w:szCs w:val="22"/>
              </w:rPr>
              <w:t xml:space="preserve">United Nations Statistics Division (UNSD) </w:t>
            </w:r>
          </w:p>
          <w:p>
            <w:pPr>
              <w:pStyle w:val="29"/>
            </w:pPr>
            <w:r>
              <w:rPr>
                <w:sz w:val="22"/>
                <w:szCs w:val="22"/>
              </w:rPr>
              <w:t>International Renewable Energy Agency (IRENA)</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7932744"/>
            <w:bookmarkStart w:id="9" w:name="_Toc36655609"/>
            <w:bookmarkStart w:id="10" w:name="_Toc36812572"/>
            <w:bookmarkStart w:id="11" w:name="_Toc36813072"/>
            <w:bookmarkStart w:id="12" w:name="_Toc36812685"/>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7932745"/>
            <w:bookmarkStart w:id="14" w:name="_Toc36655610"/>
            <w:bookmarkStart w:id="15" w:name="_Toc36813073"/>
            <w:bookmarkStart w:id="16" w:name="_Toc36812573"/>
            <w:bookmarkStart w:id="17" w:name="_Toc36812686"/>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bidi w:val="0"/>
              <w:rPr>
                <w:b/>
                <w:bCs/>
              </w:rPr>
            </w:pPr>
            <w:r>
              <w:rPr>
                <w:b/>
                <w:bCs/>
              </w:rPr>
              <w:t>Definition:</w:t>
            </w:r>
          </w:p>
          <w:p>
            <w:pPr>
              <w:bidi w:val="0"/>
            </w:pPr>
            <w:r>
              <w:t>The renewable energy share in total final consumption is the percentage of final consumption of energy that is derived from renewable resources.</w:t>
            </w:r>
          </w:p>
          <w:p>
            <w:pPr>
              <w:bidi w:val="0"/>
              <w:rPr>
                <w:b/>
                <w:bCs/>
              </w:rPr>
            </w:pPr>
            <w:r>
              <w:rPr>
                <w:b/>
                <w:bCs/>
              </w:rPr>
              <w:t>Concepts:</w:t>
            </w:r>
          </w:p>
          <w:p>
            <w:pPr>
              <w:bidi w:val="0"/>
              <w:rPr>
                <w:szCs w:val="22"/>
              </w:rPr>
            </w:pPr>
            <w:r>
              <w:t xml:space="preserve">Renewable energy consumption includes consumption of energy derived from: hydro, wind, solar, solid biofuels, liquid biofuels, biogas, geothermal, marine and renewable waste. Total final energy consumption is calculated from balances as total final consumption minus non-energy use. </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lang w:val="en-CA"/>
              </w:rPr>
            </w:pPr>
            <w:r>
              <w:rPr>
                <w:lang w:val="en-CA"/>
              </w:rPr>
              <w:t>Percent</w:t>
            </w:r>
            <w:r>
              <w:rPr>
                <w:rFonts w:hint="default"/>
                <w:lang w:val="en-CA"/>
              </w:rPr>
              <w:t>age</w:t>
            </w:r>
            <w:r>
              <w:rPr>
                <w:lang w:val="en-CA"/>
              </w:rPr>
              <w:t xml:space="preserv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hint="default" w:cstheme="minorHAnsi"/>
                <w:lang w:val="en-CA"/>
              </w:rPr>
            </w:pPr>
            <w:r>
              <w:rPr>
                <w:rFonts w:cstheme="minorHAnsi"/>
                <w:bCs/>
              </w:rPr>
              <w:t>National Energy Statistics</w:t>
            </w:r>
            <w:r>
              <w:rPr>
                <w:rFonts w:hint="default" w:cstheme="minorHAnsi"/>
                <w:bCs/>
                <w:lang w:val="en-CA"/>
              </w:rPr>
              <w:t>, 2021</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lang w:val="en-CA"/>
              </w:rPr>
            </w:pPr>
            <w:r>
              <w:rPr>
                <w:lang w:val="en-CA"/>
              </w:rPr>
              <w:t>Energy Commission</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lang w:val="en-CA"/>
              </w:rPr>
            </w:p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655612"/>
            <w:bookmarkStart w:id="21" w:name="_Toc36812688"/>
            <w:bookmarkStart w:id="22" w:name="_Toc36812575"/>
            <w:bookmarkStart w:id="23" w:name="_Toc36813075"/>
            <w:bookmarkStart w:id="24" w:name="_Toc37932747"/>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jc w:val="both"/>
              <w:rPr>
                <w:rFonts w:hint="default"/>
                <w:lang w:val="en-CA"/>
              </w:rPr>
            </w:pPr>
            <w:r>
              <w:t>The target “By 2030, increase substantially the share of renewable energy in the global energy mix” impacts all three dimensions of sustainable development. Renewable energy technologies represent a major element in strategies for greening economies everywhere in the world and for tackling the critical global problem of climate change.</w:t>
            </w:r>
            <w:r>
              <w:rPr>
                <w:rFonts w:hint="default"/>
                <w:lang w:val="en-CA"/>
              </w:rPr>
              <w:t xml:space="preserve"> </w:t>
            </w:r>
            <w:r>
              <w:t>Importantly, this indicator focuses on the amount of renewable energy actually consumed rather than the capacity for renewable energy production, which cannot always be fully utilized. By focusing on consumption by the end user, it avoids the distortions caused by the fact that conventional energy sources are subject to significant energy losses along the production chain</w:t>
            </w:r>
            <w:r>
              <w:rPr>
                <w:rFonts w:hint="default"/>
                <w:lang w:val="en-CA"/>
              </w:rPr>
              <w:t>.</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689"/>
            <w:bookmarkStart w:id="26" w:name="_Toc37932748"/>
            <w:bookmarkStart w:id="27" w:name="_Toc36812576"/>
            <w:bookmarkStart w:id="28" w:name="_Toc36813076"/>
            <w:bookmarkStart w:id="29" w:name="_Toc36655613"/>
            <w:r>
              <w:rPr>
                <w:sz w:val="32"/>
                <w:szCs w:val="32"/>
              </w:rPr>
              <w:t>5. Data availability and disaggregation</w:t>
            </w:r>
            <w:bookmarkEnd w:id="25"/>
            <w:bookmarkEnd w:id="26"/>
            <w:bookmarkEnd w:id="27"/>
            <w:bookmarkEnd w:id="28"/>
            <w:bookmarkEnd w:id="29"/>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There is no available disaggregation for this indicator.</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rPr>
              <w:fldChar w:fldCharType="begin"/>
            </w:r>
            <w:r>
              <w:rPr>
                <w:rFonts w:hint="default"/>
              </w:rPr>
              <w:instrText xml:space="preserve"> HYPERLINK "https://www.un.org/en/climatechange/what-is-renewable-energy" </w:instrText>
            </w:r>
            <w:r>
              <w:rPr>
                <w:rFonts w:hint="default"/>
              </w:rPr>
              <w:fldChar w:fldCharType="separate"/>
            </w:r>
            <w:r>
              <w:rPr>
                <w:rStyle w:val="18"/>
                <w:rFonts w:hint="default"/>
              </w:rPr>
              <w:t>https://www.un.org/en/climatechange/what-is-renewable-energy</w:t>
            </w:r>
            <w:r>
              <w:rPr>
                <w:rFonts w:hint="default"/>
              </w:rPr>
              <w:fldChar w:fldCharType="end"/>
            </w:r>
            <w:r>
              <w:rPr>
                <w:rFonts w:hint="default"/>
                <w:lang w:val="en-CA"/>
              </w:rPr>
              <w:t xml:space="preserve"> </w:t>
            </w:r>
            <w:bookmarkStart w:id="38" w:name="_GoBack"/>
            <w:bookmarkEnd w:id="38"/>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Symbol">
    <w:panose1 w:val="05050102010706020507"/>
    <w:charset w:val="02"/>
    <w:family w:val="roman"/>
    <w:pitch w:val="default"/>
    <w:sig w:usb0="00000000" w:usb1="00000000" w:usb2="00000000" w:usb3="00000000" w:csb0="8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02151"/>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1F3"/>
    <w:rsid w:val="005803B3"/>
    <w:rsid w:val="00581C4A"/>
    <w:rsid w:val="00581D14"/>
    <w:rsid w:val="005966A8"/>
    <w:rsid w:val="005A44FD"/>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83907"/>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A78B7"/>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11F72490"/>
    <w:rsid w:val="31626F36"/>
    <w:rsid w:val="4ADB1D8C"/>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1"/>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2">
    <w:name w:val="Unresolved Mention2"/>
    <w:basedOn w:val="4"/>
    <w:semiHidden/>
    <w:unhideWhenUsed/>
    <w:qFormat/>
    <w:uiPriority w:val="99"/>
    <w:rPr>
      <w:color w:val="605E5C"/>
      <w:shd w:val="clear" w:color="auto" w:fill="E1DFDD"/>
    </w:rPr>
  </w:style>
  <w:style w:type="character" w:customStyle="1" w:styleId="53">
    <w:name w:val="hidden-sm"/>
    <w:basedOn w:val="4"/>
    <w:qFormat/>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2.wmf"/><Relationship Id="rId8" Type="http://schemas.openxmlformats.org/officeDocument/2006/relationships/image" Target="media/image1.wmf"/><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8" Type="http://schemas.openxmlformats.org/officeDocument/2006/relationships/glossaryDocument" Target="glossary/document.xml"/><Relationship Id="rId17" Type="http://schemas.openxmlformats.org/officeDocument/2006/relationships/fontTable" Target="fontTable.xml"/><Relationship Id="rId16" Type="http://schemas.microsoft.com/office/2006/relationships/vbaProject" Target="vbaProject.bin"/><Relationship Id="rId15" Type="http://schemas.openxmlformats.org/officeDocument/2006/relationships/customXml" Target="../customXml/item4.xml"/><Relationship Id="rId14" Type="http://schemas.openxmlformats.org/officeDocument/2006/relationships/customXml" Target="../customXml/item3.xml"/><Relationship Id="rId13" Type="http://schemas.openxmlformats.org/officeDocument/2006/relationships/customXml" Target="../customXml/item2.xml"/><Relationship Id="rId12" Type="http://schemas.openxmlformats.org/officeDocument/2006/relationships/customXml" Target="../customXml/item1.xml"/><Relationship Id="rId11" Type="http://schemas.openxmlformats.org/officeDocument/2006/relationships/image" Target="media/image4.wmf"/><Relationship Id="rId10" Type="http://schemas.openxmlformats.org/officeDocument/2006/relationships/image" Target="media/image3.wmf"/><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3E573C"/>
    <w:rsid w:val="005E377C"/>
    <w:rsid w:val="006153AA"/>
    <w:rsid w:val="0064052E"/>
    <w:rsid w:val="00760A1F"/>
    <w:rsid w:val="00DA061B"/>
    <w:rsid w:val="00E4246B"/>
    <w:rsid w:val="00E95E77"/>
    <w:rsid w:val="00F538FA"/>
    <w:rsid w:val="00FC3F26"/>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EB1C2039-A1E2-420D-9A37-E0F60F4991A9}">
  <ds:schemaRefs/>
</ds:datastoreItem>
</file>

<file path=customXml/itemProps2.xml><?xml version="1.0" encoding="utf-8"?>
<ds:datastoreItem xmlns:ds="http://schemas.openxmlformats.org/officeDocument/2006/customXml" ds:itemID="{4712825F-F8FB-47DE-B6A1-8CCC6E07E218}">
  <ds:schemaRefs/>
</ds:datastoreItem>
</file>

<file path=customXml/itemProps3.xml><?xml version="1.0" encoding="utf-8"?>
<ds:datastoreItem xmlns:ds="http://schemas.openxmlformats.org/officeDocument/2006/customXml" ds:itemID="{1ED1DF50-B557-40DB-AB1D-53089885C6E0}">
  <ds:schemaRefs/>
</ds:datastoreItem>
</file>

<file path=customXml/itemProps4.xml><?xml version="1.0" encoding="utf-8"?>
<ds:datastoreItem xmlns:ds="http://schemas.openxmlformats.org/officeDocument/2006/customXml" ds:itemID="{57E59553-E217-482E-8EE7-C905E1600DAA}">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11</Pages>
  <Words>215731</Words>
  <Characters>1229673</Characters>
  <Lines>10247</Lines>
  <Paragraphs>2885</Paragraphs>
  <TotalTime>16</TotalTime>
  <ScaleCrop>false</ScaleCrop>
  <LinksUpToDate>false</LinksUpToDate>
  <CharactersWithSpaces>1442519</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2021-10-18T14:11:00Z</dcterms:created>
  <dc:creator>Fanning, Stephen B (JMD)</dc:creator>
  <cp:lastModifiedBy>Doreen</cp:lastModifiedBy>
  <cp:lastPrinted>2020-04-16T14:23:00Z</cp:lastPrinted>
  <dcterms:modified xsi:type="dcterms:W3CDTF">2022-11-10T13:39:47Z</dcterms:modified>
  <cp:revision>1</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12CEB119EDAE41FF9AD10190F419EEF0</vt:lpwstr>
  </property>
</Properties>
</file>