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5</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rPr>
              <w:b/>
              <w:bCs/>
            </w:rPr>
            <w:t>Error! Bookmark not defined.</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rPr>
              <w:b/>
              <w:bCs/>
            </w:rPr>
            <w:t>Error! Bookmark not defined.</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6</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6</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9</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10</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16.3.2 Unsentenced detainees as a proportion of overall prison population [16.3.2] (VC_PRS_UNSNT)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 w:val="22"/>
                <w:szCs w:val="22"/>
              </w:rPr>
            </w:pPr>
            <w:r>
              <w:rPr>
                <w:rFonts w:hint="default" w:eastAsia="SimSun" w:cs="SimSun" w:asciiTheme="minorAscii" w:hAnsiTheme="minorAscii"/>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16.3: Promote the rule of law at the national and international levels and ensure equal access to justice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16.3.2: Unsentenced detainees as a proportion of overall prison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The total number of persons held in detention who have not yet been sentenced, as a percentage of the total number of persons held in detention, on a specified date.</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‘Sentenced’ refers to persons subject to criminal proceedings who have received a decision from a competent authority regarding their conviction or acquittal. For the purposes of the indicator, persons who have received a ‘non-final’ decision (such as where a conviction is subject to appeal) are considered to be ‘sentenced’.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bCs/>
                <w:iCs/>
                <w:lang w:val="en-GB"/>
              </w:rPr>
              <w:t>Ghana Prison</w:t>
            </w:r>
            <w:r>
              <w:rPr>
                <w:rFonts w:hint="default" w:cstheme="minorHAnsi"/>
                <w:bCs/>
                <w:iCs/>
                <w:lang w:val="en-CA"/>
              </w:rPr>
              <w:t>s</w:t>
            </w:r>
            <w:bookmarkStart w:id="38" w:name="_GoBack"/>
            <w:bookmarkEnd w:id="38"/>
            <w:r>
              <w:rPr>
                <w:rFonts w:cstheme="minorHAnsi"/>
                <w:bCs/>
                <w:iCs/>
                <w:lang w:val="en-GB"/>
              </w:rPr>
              <w:t xml:space="preserve"> Service Annual Report</w:t>
            </w:r>
            <w:r>
              <w:rPr>
                <w:rFonts w:hint="default" w:cstheme="minorHAnsi"/>
                <w:bCs/>
                <w:iCs/>
                <w:lang w:val="en-CA"/>
              </w:rPr>
              <w:t>,</w:t>
            </w:r>
            <w:r>
              <w:rPr>
                <w:rFonts w:cstheme="minorHAnsi"/>
                <w:bCs/>
                <w:iCs/>
                <w:lang w:val="en-GB"/>
              </w:rPr>
              <w:t xml:space="preserve">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Prisons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5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The indicator signifies overall respect for the principle that persons awaiting trial shall not be detained in custody unnecessarily. This, in turn, is premised on aspects of the right to be presumed innocent until proven guilty. From a development perspective, extensive use of pre-sentence detention when not necessary for reasons such as the prevention of absconding, the protection of victims or witnesses, or the prevention of the commission of further offences, can divert criminal justice system resources, and exert financial and unemployment burdens on the accused and his or her family. Measuring the relative extent to which pre-sentence detention is used can provide the evidence to assist countries in lowering such burdens and ensuring its proportionate use.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total number of unsentenced persons held in detention divided by the total number of persons held in detention, on a specified date.</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29C0"/>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7F9E"/>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9A2"/>
    <w:rsid w:val="00C94E79"/>
    <w:rsid w:val="00CA6252"/>
    <w:rsid w:val="00CA7FA5"/>
    <w:rsid w:val="00CB3A98"/>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B94CC7"/>
    <w:rsid w:val="1CA342A9"/>
    <w:rsid w:val="4A4E2E8D"/>
    <w:rsid w:val="67913B4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215743</Words>
  <Characters>1229739</Characters>
  <Lines>10247</Lines>
  <Paragraphs>2885</Paragraphs>
  <TotalTime>7</TotalTime>
  <ScaleCrop>false</ScaleCrop>
  <LinksUpToDate>false</LinksUpToDate>
  <CharactersWithSpaces>1442597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2021-10-18T15:34:00Z</dcterms:created>
  <dc:creator>Fanning, Stephen B (JMD)</dc:creator>
  <cp:lastModifiedBy>Doreen</cp:lastModifiedBy>
  <cp:lastPrinted>2020-04-16T14:23:00Z</cp:lastPrinted>
  <dcterms:modified xsi:type="dcterms:W3CDTF">2022-11-13T10:27:16Z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AB8A0C25CF704F0E8C72A9A1B5FE44B7</vt:lpwstr>
  </property>
</Properties>
</file>