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0.0.0 National series not in global framework (_)</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7932743"/>
            <w:bookmarkStart w:id="5" w:name="_Toc36813071"/>
            <w:bookmarkStart w:id="6" w:name="_Toc36655608"/>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t xml:space="preserve"> 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0"/>
            </w:pPr>
            <w:r>
              <w:rPr>
                <w:sz w:val="22"/>
                <w:szCs w:val="22"/>
              </w:rPr>
              <w:t xml:space="preserve">Target 1.b: Create sound policy frameworks at the national, regional and international levels, based on pro-poor and gender-sensitive development strategies, to support accelerated investment in poverty eradication action </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2"/>
            </w:pPr>
            <w:r>
              <w:rPr>
                <w:color w:val="auto"/>
              </w:rPr>
              <w:t>Indicator 1.b.1: Pro-poor public social spending</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lang w:val="en-US"/>
              </w:rPr>
            </w:p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5"/>
            </w:pPr>
            <w:r>
              <w:rPr>
                <w:sz w:val="22"/>
                <w:szCs w:val="22"/>
              </w:rPr>
              <w:t>UNICEF, Save the Children</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655609"/>
            <w:bookmarkStart w:id="10" w:name="_Toc37932744"/>
            <w:bookmarkStart w:id="11" w:name="_Toc36812572"/>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3073"/>
            <w:bookmarkStart w:id="15" w:name="_Toc36812573"/>
            <w:bookmarkStart w:id="16" w:name="_Toc37932745"/>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Definition:</w:t>
            </w: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 xml:space="preserve">Proportion of government spending towards health and education and direct transfers which benefit directly the monetary poor. Government spending measures public expenditures on health and education services. Direct transfers refer to cash transfers and near-cash transfers. The definition of the monetary poor follows national standards, with poverty levels determined by national definition of income or consumption poverty (consistent with SDG 1.2.1). </w:t>
            </w:r>
          </w:p>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Concepts:</w:t>
            </w:r>
          </w:p>
          <w:p>
            <w:pPr>
              <w:shd w:val="clear" w:color="auto" w:fill="FFFFFF"/>
              <w:spacing w:after="0"/>
              <w:rPr>
                <w:rFonts w:hint="default" w:cs="Calibri" w:asciiTheme="minorAscii" w:hAnsiTheme="minorAscii"/>
                <w:color w:val="4A4A4A"/>
                <w:sz w:val="22"/>
                <w:szCs w:val="22"/>
                <w:lang w:eastAsia="en-GB"/>
              </w:rPr>
            </w:pPr>
            <w:r>
              <w:rPr>
                <w:rFonts w:hint="default" w:cs="Calibri" w:asciiTheme="minorAscii" w:hAnsiTheme="minorAscii"/>
                <w:color w:val="4A4A4A"/>
                <w:sz w:val="22"/>
                <w:szCs w:val="22"/>
                <w:u w:val="none"/>
                <w:lang w:eastAsia="en-GB"/>
              </w:rPr>
              <w:t>Proportion of public spending:</w:t>
            </w:r>
            <w:r>
              <w:rPr>
                <w:rFonts w:hint="default" w:cs="Calibri" w:asciiTheme="minorAscii" w:hAnsiTheme="minorAscii"/>
                <w:color w:val="4A4A4A"/>
                <w:sz w:val="22"/>
                <w:szCs w:val="22"/>
                <w:lang w:eastAsia="en-GB"/>
              </w:rPr>
              <w:t xml:space="preserve"> Expenditures by governments on health, education and direct transfers (</w:t>
            </w:r>
            <w:r>
              <w:rPr>
                <w:rFonts w:hint="default" w:eastAsia="Times New Roman" w:cs="Calibri" w:asciiTheme="minorAscii" w:hAnsiTheme="minorAscii"/>
                <w:color w:val="4A4A4A"/>
                <w:sz w:val="22"/>
                <w:szCs w:val="22"/>
                <w:lang w:eastAsia="en-GB"/>
              </w:rPr>
              <w:t>cash transfers and near-cash transfers</w:t>
            </w:r>
            <w:r>
              <w:rPr>
                <w:rFonts w:hint="default" w:cs="Calibri" w:asciiTheme="minorAscii" w:hAnsiTheme="minorAscii"/>
                <w:color w:val="4A4A4A"/>
                <w:sz w:val="22"/>
                <w:szCs w:val="22"/>
                <w:lang w:eastAsia="en-GB"/>
              </w:rPr>
              <w:t xml:space="preserve">).  </w:t>
            </w:r>
          </w:p>
          <w:p>
            <w:pPr>
              <w:shd w:val="clear" w:color="auto" w:fill="FFFFFF"/>
              <w:spacing w:after="0"/>
            </w:pPr>
            <w:r>
              <w:rPr>
                <w:rFonts w:hint="default" w:eastAsia="SimSun" w:cs="Calibri" w:asciiTheme="minorAscii" w:hAnsiTheme="minorAscii"/>
                <w:i w:val="0"/>
                <w:iCs w:val="0"/>
                <w:caps w:val="0"/>
                <w:color w:val="000000"/>
                <w:spacing w:val="0"/>
                <w:sz w:val="22"/>
                <w:szCs w:val="22"/>
              </w:rPr>
              <w:t>The poor: Monetary Poverty as determined by national definition of income/consumption poverty (consistent with SDG 1.2.1)</w:t>
            </w:r>
            <w:r>
              <w:rPr>
                <w:rFonts w:hint="default" w:eastAsia="SimSun" w:cs="Times New Roman" w:asciiTheme="minorAscii" w:hAnsiTheme="minorAscii"/>
                <w:i w:val="0"/>
                <w:iCs w:val="0"/>
                <w:caps w:val="0"/>
                <w:color w:val="000000"/>
                <w:spacing w:val="0"/>
                <w:sz w:val="22"/>
                <w:szCs w:val="22"/>
              </w:rPr>
              <w:t>.</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Percentage</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bidi w:val="0"/>
            </w:pPr>
            <w:r>
              <w:rPr>
                <w:lang w:val="en-GB" w:eastAsia="en-GB"/>
              </w:rPr>
              <w:t>National Budget and performance report of M</w:t>
            </w:r>
            <w:r>
              <w:rPr>
                <w:rFonts w:hint="default"/>
                <w:lang w:val="en-CA" w:eastAsia="en-GB"/>
              </w:rPr>
              <w:t xml:space="preserve">inistry </w:t>
            </w:r>
            <w:r>
              <w:rPr>
                <w:lang w:val="en-GB" w:eastAsia="en-GB"/>
              </w:rPr>
              <w:t>o</w:t>
            </w:r>
            <w:r>
              <w:rPr>
                <w:rFonts w:hint="default"/>
                <w:lang w:val="en-CA" w:eastAsia="en-GB"/>
              </w:rPr>
              <w:t xml:space="preserve">f </w:t>
            </w:r>
            <w:r>
              <w:rPr>
                <w:lang w:val="en-GB" w:eastAsia="en-GB"/>
              </w:rPr>
              <w:t>H</w:t>
            </w:r>
            <w:r>
              <w:rPr>
                <w:rFonts w:hint="default"/>
                <w:lang w:val="en-CA" w:eastAsia="en-GB"/>
              </w:rPr>
              <w:t>ealth and Ministry</w:t>
            </w:r>
            <w:r>
              <w:rPr>
                <w:lang w:val="en-GB" w:eastAsia="en-GB"/>
              </w:rPr>
              <w:t xml:space="preserve"> o</w:t>
            </w:r>
            <w:r>
              <w:rPr>
                <w:rFonts w:hint="default"/>
                <w:lang w:val="en-CA" w:eastAsia="en-GB"/>
              </w:rPr>
              <w:t xml:space="preserve">f </w:t>
            </w:r>
            <w:r>
              <w:rPr>
                <w:lang w:val="en-GB" w:eastAsia="en-GB"/>
              </w:rPr>
              <w:t>E</w:t>
            </w:r>
            <w:r>
              <w:rPr>
                <w:rFonts w:hint="default"/>
                <w:lang w:val="en-CA" w:eastAsia="en-GB"/>
              </w:rPr>
              <w:t>nergy</w:t>
            </w:r>
            <w:r>
              <w:rPr>
                <w:lang w:val="en-GB" w:eastAsia="en-GB"/>
              </w:rPr>
              <w:t xml:space="preserve">, 2016 </w:t>
            </w:r>
            <w:r>
              <w:rPr>
                <w:rFonts w:hint="default"/>
                <w:lang w:val="en-CA" w:eastAsia="en-GB"/>
              </w:rPr>
              <w:t>-</w:t>
            </w:r>
            <w:r>
              <w:rPr>
                <w:lang w:val="en-GB" w:eastAsia="en-GB"/>
              </w:rPr>
              <w:t xml:space="preserve"> 2018</w:t>
            </w:r>
            <w:r>
              <w:rPr>
                <w:lang w:val="en-GB" w:eastAsia="en-GB"/>
              </w:rPr>
              <w:br w:type="column"/>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Ministry of Health</w:t>
            </w:r>
            <w:r>
              <w:rPr>
                <w:rFonts w:hint="default"/>
                <w:lang w:val="en-CA"/>
              </w:rPr>
              <w:t xml:space="preserve"> (MoH)</w:t>
            </w:r>
          </w:p>
          <w:p>
            <w:pPr>
              <w:rPr>
                <w:rFonts w:hint="default"/>
                <w:lang w:val="en-CA"/>
              </w:rPr>
            </w:pPr>
            <w:r>
              <w:t>Ministry of Energy</w:t>
            </w:r>
            <w:r>
              <w:rPr>
                <w:rFonts w:hint="default"/>
                <w:lang w:val="en-CA"/>
              </w:rPr>
              <w:t xml:space="preserve"> (MoE)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Ministry of Finance (MoF)</w:t>
            </w:r>
            <w:bookmarkStart w:id="38" w:name="_GoBack"/>
            <w:bookmarkEnd w:id="38"/>
          </w:p>
        </w:tc>
      </w:tr>
      <w:permEnd w:id="30"/>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812688"/>
            <w:bookmarkStart w:id="22" w:name="_Toc36812575"/>
            <w:bookmarkStart w:id="23" w:name="_Toc36655612"/>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1"/>
                <w:szCs w:val="21"/>
                <w:lang w:eastAsia="en-GB"/>
              </w:rPr>
              <w:t>T</w:t>
            </w:r>
            <w:r>
              <w:rPr>
                <w:rFonts w:eastAsia="Times New Roman" w:cs="Times New Roman"/>
                <w:color w:val="4A4A4A"/>
                <w:sz w:val="22"/>
                <w:szCs w:val="22"/>
                <w:lang w:eastAsia="en-GB"/>
              </w:rPr>
              <w:t>he indicator measures the extent to which public spending in three key areas which are critical for poverty eradication, including health, education, and other direct transfers is directly allocated to individuals or households in the monetary poor as per the national definition.</w:t>
            </w: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 xml:space="preserve">The indicator measures if public spending is targeting the monetary poor. Pro-poor social spending is defined if the proportion of government expenditures on social services is higher than the proportion of the population, measured at the level determined by national definition of income/consumption poverty (consistent with SDG 1.2.1). This is a strong measurement of the financial commitment governments make to target their services and transfers on the poor groups of society, reinforcing pro-poor development strategies. </w:t>
            </w:r>
          </w:p>
          <w:p>
            <w:pPr>
              <w:rPr>
                <w:rFonts w:hint="default"/>
                <w:lang w:val="en-CA"/>
              </w:rPr>
            </w:pPr>
            <w:r>
              <w:rPr>
                <w:rFonts w:eastAsia="Times New Roman" w:cs="Times New Roman"/>
                <w:color w:val="4A4A4A"/>
                <w:sz w:val="22"/>
                <w:szCs w:val="22"/>
                <w:lang w:eastAsia="en-GB"/>
              </w:rPr>
              <w:t>Further developments of the methodology and improvements in data availability may allow to expand this indicator to other vulnerable groups, such as women and children</w:t>
            </w:r>
            <w:r>
              <w:rPr>
                <w:rFonts w:hint="default" w:eastAsia="Times New Roman" w:cs="Times New Roman"/>
                <w:color w:val="4A4A4A"/>
                <w:sz w:val="22"/>
                <w:szCs w:val="22"/>
                <w:lang w:val="en-CA" w:eastAsia="en-GB"/>
              </w:rPr>
              <w:t>.</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shd w:val="clear" w:color="auto" w:fill="FFFFFF"/>
              <w:spacing w:after="0"/>
            </w:p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576"/>
            <w:bookmarkStart w:id="27" w:name="_Toc36813076"/>
            <w:bookmarkStart w:id="28" w:name="_Toc36812689"/>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w:t>
            </w:r>
            <w:r>
              <w:rPr>
                <w:rFonts w:hint="default"/>
                <w:lang w:val="en-US"/>
              </w:rPr>
              <w:t xml:space="preserve"> disaggregation</w:t>
            </w:r>
            <w:r>
              <w:rPr>
                <w:rFonts w:hint="default"/>
                <w:lang w:val="en-CA"/>
              </w:rPr>
              <w:t xml:space="preserve"> for the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eastAsia="SimSun" w:cs="SimSun" w:asciiTheme="minorAscii" w:hAnsiTheme="minorAscii"/>
                <w:sz w:val="22"/>
                <w:szCs w:val="22"/>
              </w:rPr>
              <w:fldChar w:fldCharType="begin"/>
            </w:r>
            <w:r>
              <w:rPr>
                <w:rFonts w:hint="default" w:eastAsia="SimSun" w:cs="SimSun" w:asciiTheme="minorAscii" w:hAnsiTheme="minorAscii"/>
                <w:sz w:val="22"/>
                <w:szCs w:val="22"/>
              </w:rPr>
              <w:instrText xml:space="preserve"> HYPERLINK "https://unstats.un.org/sdgs/metadata/" </w:instrText>
            </w:r>
            <w:r>
              <w:rPr>
                <w:rFonts w:hint="default" w:eastAsia="SimSun" w:cs="SimSun" w:asciiTheme="minorAscii" w:hAnsiTheme="minorAscii"/>
                <w:sz w:val="22"/>
                <w:szCs w:val="22"/>
              </w:rPr>
              <w:fldChar w:fldCharType="separate"/>
            </w:r>
            <w:r>
              <w:rPr>
                <w:rStyle w:val="19"/>
                <w:rFonts w:hint="default" w:eastAsia="SimSun" w:cs="SimSun" w:asciiTheme="minorAscii" w:hAnsiTheme="minorAscii"/>
                <w:sz w:val="22"/>
                <w:szCs w:val="22"/>
              </w:rPr>
              <w:t>SDG Indicators — SDG Indicators (un.org)</w:t>
            </w:r>
            <w:r>
              <w:rPr>
                <w:rFonts w:hint="default" w:eastAsia="SimSun" w:cs="SimSun" w:asciiTheme="minorAscii" w:hAnsiTheme="minorAscii"/>
                <w:sz w:val="22"/>
                <w:szCs w:val="22"/>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BE6"/>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9704E"/>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2BC9"/>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63D74A9"/>
    <w:rsid w:val="18640242"/>
    <w:rsid w:val="27BC638A"/>
    <w:rsid w:val="3FAB342A"/>
    <w:rsid w:val="4D6D3BE9"/>
    <w:rsid w:val="6EC85615"/>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semiHidden="0"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paragraph" w:styleId="7">
    <w:name w:val="caption"/>
    <w:basedOn w:val="1"/>
    <w:next w:val="1"/>
    <w:link w:val="54"/>
    <w:unhideWhenUsed/>
    <w:qFormat/>
    <w:uiPriority w:val="35"/>
    <w:pPr>
      <w:spacing w:after="200" w:line="240" w:lineRule="auto"/>
    </w:pPr>
    <w:rPr>
      <w:i/>
      <w:iCs/>
      <w:color w:val="44546A" w:themeColor="text2"/>
      <w:sz w:val="18"/>
      <w:szCs w:val="18"/>
      <w14:textFill>
        <w14:solidFill>
          <w14:schemeClr w14:val="tx2"/>
        </w14:solidFill>
      </w14:textFill>
    </w:rPr>
  </w:style>
  <w:style w:type="character" w:styleId="8">
    <w:name w:val="annotation reference"/>
    <w:basedOn w:val="4"/>
    <w:semiHidden/>
    <w:unhideWhenUsed/>
    <w:qFormat/>
    <w:uiPriority w:val="99"/>
    <w:rPr>
      <w:sz w:val="16"/>
      <w:szCs w:val="16"/>
    </w:rPr>
  </w:style>
  <w:style w:type="paragraph" w:styleId="9">
    <w:name w:val="annotation text"/>
    <w:basedOn w:val="1"/>
    <w:link w:val="47"/>
    <w:semiHidden/>
    <w:unhideWhenUsed/>
    <w:qFormat/>
    <w:uiPriority w:val="99"/>
    <w:pPr>
      <w:spacing w:line="240" w:lineRule="auto"/>
    </w:pPr>
    <w:rPr>
      <w:sz w:val="20"/>
      <w:szCs w:val="20"/>
    </w:rPr>
  </w:style>
  <w:style w:type="paragraph" w:styleId="10">
    <w:name w:val="annotation subject"/>
    <w:basedOn w:val="9"/>
    <w:next w:val="9"/>
    <w:link w:val="48"/>
    <w:semiHidden/>
    <w:unhideWhenUsed/>
    <w:qFormat/>
    <w:uiPriority w:val="99"/>
    <w:rPr>
      <w:b/>
      <w:bCs/>
    </w:rPr>
  </w:style>
  <w:style w:type="character" w:styleId="11">
    <w:name w:val="endnote reference"/>
    <w:basedOn w:val="4"/>
    <w:semiHidden/>
    <w:unhideWhenUsed/>
    <w:qFormat/>
    <w:uiPriority w:val="99"/>
    <w:rPr>
      <w:vertAlign w:val="superscript"/>
    </w:rPr>
  </w:style>
  <w:style w:type="paragraph" w:styleId="12">
    <w:name w:val="endnote text"/>
    <w:basedOn w:val="1"/>
    <w:link w:val="50"/>
    <w:unhideWhenUsed/>
    <w:qFormat/>
    <w:uiPriority w:val="99"/>
    <w:pPr>
      <w:spacing w:after="0" w:line="240" w:lineRule="auto"/>
    </w:pPr>
    <w:rPr>
      <w:sz w:val="20"/>
      <w:szCs w:val="20"/>
    </w:rPr>
  </w:style>
  <w:style w:type="character" w:styleId="13">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4">
    <w:name w:val="footer"/>
    <w:basedOn w:val="1"/>
    <w:link w:val="45"/>
    <w:unhideWhenUsed/>
    <w:qFormat/>
    <w:uiPriority w:val="99"/>
    <w:pPr>
      <w:tabs>
        <w:tab w:val="center" w:pos="4680"/>
        <w:tab w:val="right" w:pos="9360"/>
      </w:tabs>
      <w:spacing w:after="0" w:line="240" w:lineRule="auto"/>
    </w:pPr>
  </w:style>
  <w:style w:type="character" w:styleId="15">
    <w:name w:val="footnote reference"/>
    <w:basedOn w:val="4"/>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8">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9">
    <w:name w:val="Hyperlink"/>
    <w:basedOn w:val="4"/>
    <w:unhideWhenUsed/>
    <w:qFormat/>
    <w:uiPriority w:val="99"/>
    <w:rPr>
      <w:color w:val="0563C1" w:themeColor="hyperlink"/>
      <w:u w:val="single"/>
      <w14:textFill>
        <w14:solidFill>
          <w14:schemeClr w14:val="hlink"/>
        </w14:solidFill>
      </w14:textFill>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8"/>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7"/>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4"/>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9"/>
    <w:semiHidden/>
    <w:qFormat/>
    <w:uiPriority w:val="99"/>
    <w:rPr>
      <w:sz w:val="20"/>
      <w:szCs w:val="20"/>
    </w:rPr>
  </w:style>
  <w:style w:type="character" w:customStyle="1" w:styleId="48">
    <w:name w:val="Comment Subject Char"/>
    <w:basedOn w:val="47"/>
    <w:link w:val="10"/>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2"/>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 w:type="character" w:customStyle="1" w:styleId="54">
    <w:name w:val="Caption Char"/>
    <w:basedOn w:val="4"/>
    <w:link w:val="7"/>
    <w:qFormat/>
    <w:uiPriority w:val="35"/>
    <w:rPr>
      <w:i/>
      <w:iCs/>
      <w:color w:val="44546A" w:themeColor="text2"/>
      <w:sz w:val="18"/>
      <w:szCs w:val="18"/>
      <w14:textFill>
        <w14:solidFill>
          <w14:schemeClr w14:val="tx2"/>
        </w14:solidFill>
      </w14:textFill>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7B27E9"/>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215877</Words>
  <Characters>1230503</Characters>
  <Lines>10254</Lines>
  <Paragraphs>2886</Paragraphs>
  <TotalTime>47</TotalTime>
  <ScaleCrop>false</ScaleCrop>
  <LinksUpToDate>false</LinksUpToDate>
  <CharactersWithSpaces>1443494</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2021-11-01T11:51:00Z</dcterms:created>
  <dc:creator>Fanning, Stephen B (JMD)</dc:creator>
  <cp:lastModifiedBy>Doreen</cp:lastModifiedBy>
  <cp:lastPrinted>2020-04-16T14:23:00Z</cp:lastPrinted>
  <dcterms:modified xsi:type="dcterms:W3CDTF">2022-11-08T10:01:37Z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8CD4785DCB8F436FA0FEC9F676D7D2E1</vt:lpwstr>
  </property>
</Properties>
</file>