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14.b.1 Degree of application of a legal/regulatory/policy/institutional framework which recognizes and protects access rights for small-scale fisheries (level of implementation: 1 lowest to 5 highest)... (ER_REG_SSFRAR)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14.b: Provide access for small-scale artisanal fishers to marine resources and markets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14.b.1 Relevant Ghanaian legal/regulatory/policy</w:t>
            </w:r>
            <w:bookmarkStart w:id="38" w:name="_GoBack"/>
            <w:bookmarkEnd w:id="38"/>
            <w:r>
              <w:t>/institutional frameworks which recognize and protect access rights for small-scale fisheries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C0F4E56"/>
    <w:rsid w:val="293F6DD3"/>
    <w:rsid w:val="2B833767"/>
    <w:rsid w:val="577A6101"/>
    <w:rsid w:val="617B58CA"/>
    <w:rsid w:val="708B6A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2022-10-25T21:15:14Z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99924863A1BF480BBA046B09E4248150</vt:lpwstr>
  </property>
</Properties>
</file>