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14.c.1 Score for the ratification of and accession to UNCLOS and its two implementing agreements (%) [14.c.1] (ER_UNCLOS_RATACC)</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655608"/>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14: Conserve and sustainably use the oceans, seas and marine resources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14.c: Enhance the conservation and sustainable use of oceans and their resources by implementing international law as reflected in the United Nations Convention on the Law of the Sea, which provides the legal fra</w:t>
            </w:r>
            <w:bookmarkStart w:id="38" w:name="_GoBack"/>
            <w:bookmarkEnd w:id="38"/>
            <w:r>
              <w:rPr>
                <w:rFonts w:hint="default"/>
              </w:rPr>
              <w:t>mework for the conservation and sustainable use of oceans and their resources, as recalled in paragraph 158 of “The future we want”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14.c.1 Relevant international treaties and agreements in relation to the conservation and sustainable use of the oceans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3072"/>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686"/>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7932747"/>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7932748"/>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C7E71A0"/>
    <w:rsid w:val="29BC11D6"/>
    <w:rsid w:val="55A746B4"/>
    <w:rsid w:val="617B58CA"/>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0</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2022-10-25T21:16:44Z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42656333F3DA435887C1A90A94DC211C</vt:lpwstr>
  </property>
</Properties>
</file>