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r>
            <w:rPr>
              <w:rFonts w:asciiTheme="minorHAnsi" w:hAnsiTheme="minorHAnsi" w:eastAsiaTheme="minorHAnsi" w:cstheme="minorBidi"/>
              <w:sz w:val="22"/>
              <w:szCs w:val="22"/>
              <w:lang w:val="en-US" w:eastAsia="en-US" w:bidi="ar-SA"/>
            </w:rPr>
            <w:t>17.19.2 Countries that have conducted at least one population and housing census in the last 10 years (1 = YES; 0 = NO) [17.19.2] (SG_REG_CENSUSN)</w:t>
          </w:r>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6812571"/>
            <w:bookmarkStart w:id="3" w:name="_Toc36812684"/>
            <w:bookmarkStart w:id="4" w:name="_Toc37932743"/>
            <w:bookmarkStart w:id="5" w:name="_Toc36655608"/>
            <w:bookmarkStart w:id="6" w:name="_Toc36813071"/>
            <w:r>
              <w:rPr>
                <w:sz w:val="32"/>
                <w:szCs w:val="32"/>
              </w:rPr>
              <w:t>0. Indicator information</w:t>
            </w:r>
            <w:bookmarkEnd w:id="2"/>
            <w:bookmarkEnd w:id="3"/>
            <w:bookmarkEnd w:id="4"/>
            <w:bookmarkEnd w:id="5"/>
            <w:bookmarkEnd w:id="6"/>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rFonts w:hint="default"/>
              </w:rPr>
              <w:t>Goal 17: Strengthen the means of implementation and revitalize the Global Partnership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17.9: Enhance international support for implementing effective and targeted capacity-building in developing countries to support national plans to implement all the Sustainable Development Goals, including through North-South, South-South a</w:t>
            </w:r>
            <w:bookmarkStart w:id="37" w:name="_GoBack"/>
            <w:bookmarkEnd w:id="37"/>
            <w:r>
              <w:rPr>
                <w:rFonts w:hint="default"/>
              </w:rPr>
              <w:t>nd triangular cooperation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17.19.2 (a) Census taking in Ghana</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6812685"/>
            <w:bookmarkStart w:id="8" w:name="_Toc36655609"/>
            <w:bookmarkStart w:id="9" w:name="_Toc36813072"/>
            <w:bookmarkStart w:id="10" w:name="_Toc37932744"/>
            <w:bookmarkStart w:id="11" w:name="_Toc36812572"/>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6812686"/>
            <w:bookmarkStart w:id="13" w:name="_Toc36813073"/>
            <w:bookmarkStart w:id="14" w:name="_Toc37932745"/>
            <w:bookmarkStart w:id="15" w:name="_Toc36812573"/>
            <w:bookmarkStart w:id="16" w:name="_Toc36655610"/>
            <w:r>
              <w:rPr>
                <w:sz w:val="32"/>
                <w:szCs w:val="32"/>
              </w:rPr>
              <w:t>2. Definition, concepts, and classifications</w:t>
            </w:r>
            <w:bookmarkEnd w:id="12"/>
            <w:bookmarkEnd w:id="13"/>
            <w:bookmarkEnd w:id="14"/>
            <w:bookmarkEnd w:id="15"/>
            <w:bookmarkEnd w:id="16"/>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7932746"/>
            <w:bookmarkStart w:id="18" w:name="_Toc36813074"/>
            <w:r>
              <w:rPr>
                <w:sz w:val="32"/>
                <w:szCs w:val="32"/>
              </w:rPr>
              <w:t>3. Data source type and data collection method</w:t>
            </w:r>
            <w:bookmarkEnd w:id="17"/>
            <w:bookmarkEnd w:id="18"/>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6813075"/>
            <w:bookmarkStart w:id="20" w:name="_Toc36812688"/>
            <w:bookmarkStart w:id="21" w:name="_Toc37932747"/>
            <w:bookmarkStart w:id="22" w:name="_Toc36812575"/>
            <w:bookmarkStart w:id="23" w:name="_Toc36655612"/>
            <w:r>
              <w:rPr>
                <w:sz w:val="32"/>
                <w:szCs w:val="32"/>
              </w:rPr>
              <w:t>4. Other methodological considerations</w:t>
            </w:r>
            <w:bookmarkEnd w:id="19"/>
            <w:bookmarkEnd w:id="20"/>
            <w:bookmarkEnd w:id="21"/>
            <w:bookmarkEnd w:id="22"/>
            <w:bookmarkEnd w:id="23"/>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bidi w:val="0"/>
            </w:p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6655613"/>
            <w:bookmarkStart w:id="25" w:name="_Toc36813076"/>
            <w:bookmarkStart w:id="26" w:name="_Toc37932748"/>
            <w:bookmarkStart w:id="27" w:name="_Toc36812576"/>
            <w:bookmarkStart w:id="28" w:name="_Toc36812689"/>
            <w:r>
              <w:rPr>
                <w:sz w:val="32"/>
                <w:szCs w:val="32"/>
              </w:rPr>
              <w:t>5. Data availability and disaggregation</w:t>
            </w:r>
            <w:bookmarkEnd w:id="24"/>
            <w:bookmarkEnd w:id="25"/>
            <w:bookmarkEnd w:id="26"/>
            <w:bookmarkEnd w:id="27"/>
            <w:bookmarkEnd w:id="28"/>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29" w:name="_Toc37932751"/>
      <w:bookmarkStart w:id="30" w:name="Tips_and_Tricks"/>
      <w:bookmarkStart w:id="31" w:name="_Toc36655616"/>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2"/>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4" w:name="_Toc37932753"/>
      <w:bookmarkStart w:id="35" w:name="Mapping"/>
      <w:r>
        <w:rPr>
          <w:sz w:val="28"/>
          <w:szCs w:val="28"/>
        </w:rPr>
        <w:t>B. Mapping of SDMX Detailed Concepts to IAEG-SDG File Format</w:t>
      </w:r>
      <w:bookmarkEnd w:id="34"/>
    </w:p>
    <w:bookmarkEnd w:id="35"/>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6" w:name="_Toc37932754"/>
      <w:r>
        <w:rPr>
          <w:sz w:val="28"/>
          <w:szCs w:val="28"/>
        </w:rPr>
        <w:t>C. Mapping of IAEG-SDG File Format to SDMX Detailed Concepts</w:t>
      </w:r>
      <w:bookmarkEnd w:id="36"/>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Calibri">
    <w:panose1 w:val="020F0502020204030204"/>
    <w:charset w:val="86"/>
    <w:family w:val="swiss"/>
    <w:pitch w:val="default"/>
    <w:sig w:usb0="E4002EFF" w:usb1="C000247B"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6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17985ABB"/>
    <w:rsid w:val="237A2726"/>
    <w:rsid w:val="24554CE6"/>
    <w:rsid w:val="34824CA8"/>
    <w:rsid w:val="617B58CA"/>
    <w:rsid w:val="77594999"/>
    <w:rsid w:val="779C169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2</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2022-10-25T21:45:07Z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60E1F5AE2B0C431DA902E90AFCBE33E2</vt:lpwstr>
  </property>
</Properties>
</file>