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17.8: Fully operationalize the technology bank and science, technology and innovation capacity-building mechanism for least developed countries by 2017 and enhance the use of enabling technology, in particular information and communications technology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17.18.2 Relevant national statistical legislation that complies with the Fundamental Principles of Official Statistics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17985ABB"/>
    <w:rsid w:val="226202D0"/>
    <w:rsid w:val="34824CA8"/>
    <w:rsid w:val="3FB54248"/>
    <w:rsid w:val="3FD73A83"/>
    <w:rsid w:val="5E455DA7"/>
    <w:rsid w:val="617B58CA"/>
    <w:rsid w:val="65D4342B"/>
    <w:rsid w:val="65FE2CB0"/>
    <w:rsid w:val="779C1699"/>
    <w:rsid w:val="79DF3A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2022-10-25T21:38:57Z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4E9A12F0DCE94F67BA099BB21844FBE1</vt:lpwstr>
  </property>
</Properties>
</file>