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5.1.1 Legal frameworks that promote, enforce and monitor gender equality (percentage of achievement, 0 - 100) -- Area 1: overarching legal frameworks and public life. [5.1.1] (SG_LGL_GENEQLFP)</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7932743"/>
            <w:bookmarkStart w:id="3" w:name="_Toc36812684"/>
            <w:bookmarkStart w:id="4" w:name="_Toc36812571"/>
            <w:bookmarkStart w:id="5" w:name="_Toc36813071"/>
            <w:bookmarkStart w:id="6" w:name="_Toc36655608"/>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5.1: End all forms of discrimination against all women and girls</w:t>
            </w:r>
            <w:bookmarkStart w:id="37" w:name="_GoBack"/>
            <w:bookmarkEnd w:id="37"/>
            <w:r>
              <w:rPr>
                <w:rFonts w:hint="default"/>
              </w:rPr>
              <w:t xml:space="preserve">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5.1.1 Relevant Ghanaian policies/legal frameworks that are in place to promote, enforce and monitor equality and nondiscrimination on the basis of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6812685"/>
            <w:bookmarkStart w:id="10" w:name="_Toc37932744"/>
            <w:bookmarkStart w:id="11" w:name="_Toc36655609"/>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7932745"/>
            <w:bookmarkStart w:id="13" w:name="_Toc36655610"/>
            <w:bookmarkStart w:id="14" w:name="_Toc36813073"/>
            <w:bookmarkStart w:id="15" w:name="_Toc36812686"/>
            <w:bookmarkStart w:id="16" w:name="_Toc36812573"/>
            <w:r>
              <w:rPr>
                <w:sz w:val="32"/>
                <w:szCs w:val="32"/>
              </w:rPr>
              <w:t>2. Definition, concepts, and classifications</w:t>
            </w:r>
            <w:bookmarkEnd w:id="12"/>
            <w:bookmarkEnd w:id="13"/>
            <w:bookmarkEnd w:id="14"/>
            <w:bookmarkEnd w:id="15"/>
            <w:bookmarkEnd w:id="16"/>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812575"/>
            <w:bookmarkStart w:id="21" w:name="_Toc36655612"/>
            <w:bookmarkStart w:id="22" w:name="_Toc36812688"/>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812576"/>
            <w:bookmarkStart w:id="26" w:name="_Toc36812689"/>
            <w:bookmarkStart w:id="27" w:name="_Toc36813076"/>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0A75D5B"/>
    <w:rsid w:val="34824CA8"/>
    <w:rsid w:val="39BD1573"/>
    <w:rsid w:val="3FB54248"/>
    <w:rsid w:val="43E03DEF"/>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2022-10-25T20:27:23Z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A79E5B0E956F41A1986266BA2B22CB33</vt:lpwstr>
  </property>
</Properties>
</file>