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rPr>
              <w:rFonts w:asciiTheme="minorHAnsi" w:hAnsiTheme="minorHAnsi" w:eastAsiaTheme="minorHAnsi" w:cstheme="minorBidi"/>
              <w:sz w:val="22"/>
              <w:szCs w:val="22"/>
              <w:lang w:val="en-US" w:eastAsia="en-US" w:bidi="ar-SA"/>
            </w:rPr>
            <w:t>8.b.1 Existence of a developed and operationalized national strategy for youth employment, as a distinct strategy or as part of a national employment strategy [8.b.1] (SL_CPA_YEMP)</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7932743"/>
            <w:bookmarkStart w:id="5" w:name="_Toc36655608"/>
            <w:bookmarkStart w:id="6" w:name="_Toc36812684"/>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8: Promote su</w:t>
            </w:r>
            <w:bookmarkStart w:id="38" w:name="_GoBack"/>
            <w:bookmarkEnd w:id="38"/>
            <w:r>
              <w:rPr>
                <w:rFonts w:hint="default"/>
              </w:rPr>
              <w:t>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8.b: By 2020, develop and operationalize a global strategy for youth employment and implement the Global Jobs Pact of the International Labour Organization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8.b.1 Relevant Ghanaian policies on youth employment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7932744"/>
            <w:bookmarkStart w:id="11" w:name="_Toc36812572"/>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655610"/>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813075"/>
            <w:bookmarkStart w:id="23" w:name="_Toc36655612"/>
            <w:bookmarkStart w:id="24" w:name="_Toc37932747"/>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34824CA8"/>
    <w:rsid w:val="3DFD4AB3"/>
    <w:rsid w:val="3FB54248"/>
    <w:rsid w:val="528C46D6"/>
    <w:rsid w:val="5CD21F77"/>
    <w:rsid w:val="617B58CA"/>
    <w:rsid w:val="65FE2CB0"/>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0</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2022-10-25T20:49:27Z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89B54AD27D394A7BBA4C10DC81997F2E</vt:lpwstr>
  </property>
</Properties>
</file>