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4.2.2 Participation rate in organized learning (one year before the official primary entry age) [4.2.2] (SE_PRE_PARTN)</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3071"/>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Target 4.2: By 2030, ensure that all girls and boys have access to quality early childhood development, care and pre-primary education so that they are ready for primary education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Indicator 4.2.2: Participation rate in organized learning (one year before the official primary entry age),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bookmarkStart w:id="38" w:name="_GoBack"/>
            <w:bookmarkEnd w:id="38"/>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812686"/>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jc w:val="both"/>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The participation rate in organized learning (one year before the official primary entry age), by sex is defined as the percentage of children in the given age range who participate in one or more organized learning programme</w:t>
            </w:r>
            <w:r>
              <w:rPr>
                <w:rFonts w:hint="default" w:asciiTheme="minorHAnsi" w:hAnsiTheme="minorHAnsi" w:cstheme="minorHAnsi"/>
                <w:color w:val="000000"/>
                <w:sz w:val="22"/>
                <w:szCs w:val="22"/>
                <w:lang w:val="en-CA"/>
              </w:rPr>
              <w:t>s</w:t>
            </w:r>
            <w:r>
              <w:rPr>
                <w:rFonts w:asciiTheme="minorHAnsi" w:hAnsiTheme="minorHAnsi" w:cstheme="minorHAnsi"/>
                <w:color w:val="000000"/>
                <w:sz w:val="22"/>
                <w:szCs w:val="22"/>
              </w:rPr>
              <w:t>, including programmes which offer a combination of education and care. Participation in early childhood and in primary education are both included.</w:t>
            </w:r>
          </w:p>
          <w:p>
            <w:pPr>
              <w:pStyle w:val="19"/>
              <w:jc w:val="both"/>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An organized learning programme is one which consists of a coherent set or sequence of educational activities designed with the intention of achieving pre-determined learning outcomes or the</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accomplishment of a specific set of educational tasks. Early childhood and primary education programmes are examples of organized learning programmes.</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 xml:space="preserve">Early childhood and primary education are defined in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"https://uis.unesco.org/en/topic/international-standard-classification-education-isced"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the 2011 revision of the International Standard Classification of Education (ISCED 2011)</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 Early childhood education is typically designed with a holistic approach to support children’s early cognitive, physical, social and emotional development and to introduce young children to organized instruction outside the family context. Primary education offers learning and educational activities designed to provide students with fundamental skills in reading, writing and mathematics and establish a solid foundation for learning and understanding core areas of knowledge and personal development. It focuses on learning at a basic level of complexity with little, if any, specialisation.</w:t>
            </w:r>
          </w:p>
          <w:p>
            <w:pPr>
              <w:pStyle w:val="19"/>
              <w:jc w:val="both"/>
              <w:rPr>
                <w:rFonts w:cstheme="minorHAnsi"/>
              </w:rPr>
            </w:pPr>
            <w:r>
              <w:rPr>
                <w:rFonts w:asciiTheme="minorHAnsi" w:hAnsiTheme="minorHAnsi" w:cstheme="minorHAnsi"/>
                <w:color w:val="000000"/>
                <w:sz w:val="22"/>
                <w:szCs w:val="22"/>
              </w:rPr>
              <w:t xml:space="preserve">The official primary entry age is the age at which children are obliged to start primary education according to national legislation or policies.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lang w:val="en-CA"/>
              </w:rPr>
              <w:t xml:space="preserve">Ghana </w:t>
            </w:r>
            <w:r>
              <w:t>M</w:t>
            </w:r>
            <w:r>
              <w:rPr>
                <w:rFonts w:hint="default"/>
                <w:lang w:val="en-CA"/>
              </w:rPr>
              <w:t xml:space="preserve">ultiple </w:t>
            </w:r>
            <w:r>
              <w:t>I</w:t>
            </w:r>
            <w:r>
              <w:rPr>
                <w:rFonts w:hint="default"/>
                <w:lang w:val="en-CA"/>
              </w:rPr>
              <w:t xml:space="preserve">ndicator </w:t>
            </w:r>
            <w:r>
              <w:t>C</w:t>
            </w:r>
            <w:r>
              <w:rPr>
                <w:rFonts w:hint="default"/>
                <w:lang w:val="en-CA"/>
              </w:rPr>
              <w:t xml:space="preserve">luster </w:t>
            </w:r>
            <w:r>
              <w:t>S</w:t>
            </w:r>
            <w:r>
              <w:rPr>
                <w:rFonts w:hint="default"/>
                <w:lang w:val="en-CA"/>
              </w:rPr>
              <w:t xml:space="preserve">urvey (MICS), </w:t>
            </w:r>
            <w:r>
              <w:t>2011</w:t>
            </w:r>
            <w:r>
              <w:rPr>
                <w:rFonts w:hint="default"/>
                <w:lang w:val="en-CA"/>
              </w:rPr>
              <w:t xml:space="preserve"> and </w:t>
            </w:r>
            <w:r>
              <w:t>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7932747"/>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000000"/>
              </w:rPr>
              <w:t>The indicator measures children’s exposure to organized learning activities in the year prior to the start of primary school. A high value of the indicator shows a high degree of participation in organized learning immediately before the official entrance age to primary education.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w:t>
            </w:r>
            <w:r>
              <w:rPr>
                <w:rFonts w:hint="default"/>
                <w:lang w:val="en-CA"/>
              </w:rPr>
              <w:t>re is no available disaggregation for this indicator.</w:t>
            </w:r>
            <w:r>
              <w:t xml:space="preserve">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ascii="SimSun" w:hAnsi="SimSun" w:eastAsia="SimSun" w:cs="SimSun"/>
                <w:sz w:val="24"/>
                <w:szCs w:val="24"/>
              </w:rPr>
            </w:pPr>
            <w:r>
              <w:fldChar w:fldCharType="begin"/>
            </w:r>
            <w:r>
              <w:instrText xml:space="preserve"> HYPERLINK "https://unstats.un.org/sdgs/metadata/" </w:instrText>
            </w:r>
            <w:r>
              <w:fldChar w:fldCharType="separate"/>
            </w:r>
            <w:r>
              <w:rPr>
                <w:rStyle w:val="18"/>
                <w:rFonts w:eastAsia="SimSun" w:cstheme="minorHAnsi"/>
              </w:rPr>
              <w:t>SDG Indicators — SDG Indicators (un.org)</w:t>
            </w:r>
            <w:r>
              <w:rPr>
                <w:rStyle w:val="18"/>
                <w:rFonts w:eastAsia="SimSun" w:cstheme="minorHAnsi"/>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 w:name="Roboto">
    <w:altName w:val="Segoe Print"/>
    <w:panose1 w:val="00000000000000000000"/>
    <w:charset w:val="00"/>
    <w:family w:val="auto"/>
    <w:pitch w:val="default"/>
    <w:sig w:usb0="00000000" w:usb1="00000000" w:usb2="0000002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26D8"/>
    <w:rsid w:val="007A078A"/>
    <w:rsid w:val="007A2617"/>
    <w:rsid w:val="007A28BA"/>
    <w:rsid w:val="007B2E39"/>
    <w:rsid w:val="007B75E1"/>
    <w:rsid w:val="007C2733"/>
    <w:rsid w:val="007C63C4"/>
    <w:rsid w:val="007E4EE0"/>
    <w:rsid w:val="007E6342"/>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1A57"/>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2054EED"/>
    <w:rsid w:val="57AF4405"/>
    <w:rsid w:val="7259702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351DC"/>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215978</Words>
  <Characters>1231080</Characters>
  <Lines>10259</Lines>
  <Paragraphs>2888</Paragraphs>
  <TotalTime>19</TotalTime>
  <ScaleCrop>false</ScaleCrop>
  <LinksUpToDate>false</LinksUpToDate>
  <CharactersWithSpaces>1444170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2022-11-09T06:13:49Z</dcterms:modified>
  <cp:revision>14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77D93F30EFC34329A609BAD68EA8E9BE</vt:lpwstr>
  </property>
</Properties>
</file>