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8.b.1 Existence of a developed and operationalized national strategy for youth employment, as a distinct strategy or as part of a national employment strategy [8.b.1] (SL_CPA_YEMP)</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813071"/>
            <w:bookmarkStart w:id="6" w:name="_Toc36655608"/>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8: Promote sustained, inclusive and sustainable economic growth, full and productive employment 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8.b: By 2020, develop and operatio</w:t>
            </w:r>
            <w:bookmarkStart w:id="38" w:name="_GoBack"/>
            <w:bookmarkEnd w:id="38"/>
            <w:r>
              <w:rPr>
                <w:rFonts w:hint="default"/>
              </w:rPr>
              <w:t>nalize a global strategy for youth employment and implement the Global Jobs Pact of the International Labour Organization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Indicator </w:t>
            </w:r>
            <w:r>
              <w:t>8.b.1</w:t>
            </w:r>
            <w:r>
              <w:rPr>
                <w:rFonts w:hint="default"/>
                <w:lang w:val="en-CA"/>
              </w:rPr>
              <w:t>:</w:t>
            </w:r>
            <w:r>
              <w:t xml:space="preserve"> </w:t>
            </w:r>
            <w:r>
              <w:rPr>
                <w:rFonts w:hint="default"/>
                <w:lang w:val="en-CA"/>
              </w:rPr>
              <w:t>Existence of a developed and operationalized national strategy for youth employment, as a distinct strategy or as part of a national emploment strategy</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3072"/>
            <w:bookmarkStart w:id="10" w:name="_Toc36812572"/>
            <w:bookmarkStart w:id="11" w:name="_Toc36655609"/>
            <w:bookmarkStart w:id="12" w:name="_Toc37932744"/>
            <w:r>
              <w:rPr>
                <w:sz w:val="32"/>
                <w:szCs w:val="32"/>
              </w:rPr>
              <w:t>1. Data reporter</w:t>
            </w:r>
            <w:bookmarkEnd w:id="8"/>
            <w:bookmarkEnd w:id="9"/>
            <w:bookmarkEnd w:id="10"/>
            <w:bookmarkEnd w:id="11"/>
            <w:bookmarkEnd w:id="12"/>
          </w:p>
        </w:tc>
      </w:tr>
      <w:tr>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3073"/>
            <w:bookmarkStart w:id="15" w:name="_Toc36655610"/>
            <w:bookmarkStart w:id="16" w:name="_Toc37932745"/>
            <w:bookmarkStart w:id="17" w:name="_Toc36812573"/>
            <w:r>
              <w:rPr>
                <w:sz w:val="32"/>
                <w:szCs w:val="32"/>
              </w:rPr>
              <w:t>2. Definition, concepts, and classifications</w:t>
            </w:r>
            <w:bookmarkEnd w:id="13"/>
            <w:bookmarkEnd w:id="14"/>
            <w:bookmarkEnd w:id="15"/>
            <w:bookmarkEnd w:id="16"/>
            <w:bookmarkEnd w:id="17"/>
          </w:p>
        </w:tc>
      </w:tr>
      <w:tr>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US"/>
              </w:rPr>
            </w:p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6655612"/>
            <w:bookmarkStart w:id="23" w:name="_Toc368130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p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3076"/>
            <w:bookmarkStart w:id="28" w:name="_Toc36812689"/>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17985ABB"/>
    <w:rsid w:val="1F5F3429"/>
    <w:rsid w:val="34824CA8"/>
    <w:rsid w:val="3DFD4AB3"/>
    <w:rsid w:val="3FB54248"/>
    <w:rsid w:val="528C46D6"/>
    <w:rsid w:val="5CD21F77"/>
    <w:rsid w:val="617B58CA"/>
    <w:rsid w:val="65FE2CB0"/>
    <w:rsid w:val="779C169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3</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2022-11-11T07:14:45Z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89B54AD27D394A7BBA4C10DC81997F2E</vt:lpwstr>
  </property>
</Properties>
</file>