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6655608"/>
            <w:bookmarkStart w:id="4" w:name="_Toc37932743"/>
            <w:bookmarkStart w:id="5" w:name="_Toc36812684"/>
            <w:bookmarkStart w:id="6" w:name="_Toc36813071"/>
            <w:bookmarkStart w:id="7" w:name="_Toc36812571"/>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rPr>
            </w:pPr>
            <w:r>
              <w:rPr>
                <w:rFonts w:hint="default" w:eastAsia="Times New Roman" w:cs="Arial"/>
                <w:color w:val="333333"/>
                <w:sz w:val="22"/>
                <w:szCs w:val="22"/>
                <w:lang w:eastAsia="en-GB"/>
              </w:rPr>
              <w:t>Goal 13: Take urgent action to combat climate change and its impacts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rPr>
            </w:pPr>
            <w:r>
              <w:rPr>
                <w:rFonts w:hint="default" w:eastAsia="Times New Roman" w:cs="Arial"/>
                <w:color w:val="333333"/>
                <w:sz w:val="22"/>
                <w:szCs w:val="22"/>
                <w:lang w:eastAsia="en-GB"/>
              </w:rPr>
              <w:t>Target 13.1: Strengthen resilience and adaptive capacity to climate-related hazards and natural disasters in all countries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eastAsia="Times New Roman" w:cs="Arial"/>
                <w:color w:val="1C75BC"/>
                <w:lang w:eastAsia="en-GB"/>
              </w:rPr>
            </w:pPr>
            <w:r>
              <w:rPr>
                <w:rFonts w:hint="default" w:eastAsia="Times New Roman" w:cs="Arial"/>
                <w:color w:val="auto"/>
                <w:lang w:eastAsia="en-GB"/>
              </w:rPr>
              <w:t>Indicator 13.1.1: Number of deaths, missing persons and directly affected persons attributed to disasters per 100,000 population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FFFFF"/>
              <w:spacing w:before="0" w:beforeAutospacing="0" w:after="0" w:afterAutospacing="0" w:line="336" w:lineRule="atLeast"/>
              <w:ind w:left="0" w:right="0"/>
              <w:rPr>
                <w:rFonts w:hint="default"/>
              </w:rPr>
            </w:pPr>
            <w:r>
              <w:rPr>
                <w:rFonts w:hint="default" w:eastAsia="Times New Roman" w:cs="Arial"/>
                <w:color w:val="4A4A4A"/>
                <w:sz w:val="22"/>
                <w:szCs w:val="22"/>
                <w:lang w:eastAsia="en-GB"/>
              </w:rPr>
              <w:t>United Nations Office for Disaster Reduction (UNISDR)</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812572"/>
            <w:bookmarkStart w:id="9" w:name="_Toc36813072"/>
            <w:bookmarkStart w:id="10" w:name="_Toc36655609"/>
            <w:bookmarkStart w:id="11" w:name="_Toc37932744"/>
            <w:bookmarkStart w:id="12" w:name="_Toc36812685"/>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7932745"/>
            <w:bookmarkStart w:id="14" w:name="_Toc36813073"/>
            <w:bookmarkStart w:id="15" w:name="_Toc36812686"/>
            <w:bookmarkStart w:id="16" w:name="_Toc36655610"/>
            <w:bookmarkStart w:id="17" w:name="_Toc36812573"/>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This indicator measures the number of people who died, went missing or were directly affected by disasters per 100,000 population.</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Death: The number of people who died during the disaster, or directly after, as a direct result of the hazardous event.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Missing: The number of people whose whereabouts is unknown since the hazardous event. It includes people who are presumed dead, for whom there is no physical evidence such as a body, and for which an official/legal report has been filed with competent authorities.</w:t>
            </w:r>
          </w:p>
          <w:p>
            <w:pPr>
              <w:keepNext w:val="0"/>
              <w:keepLines w:val="0"/>
              <w:widowControl/>
              <w:suppressLineNumbers w:val="0"/>
              <w:shd w:val="clear" w:color="auto" w:fill="FFFFFF"/>
              <w:spacing w:before="0" w:beforeAutospacing="0" w:after="0" w:afterAutospacing="0"/>
              <w:ind w:left="0" w:right="0"/>
              <w:jc w:val="both"/>
              <w:rPr>
                <w:rFonts w:hint="default"/>
              </w:rPr>
            </w:pPr>
            <w:r>
              <w:rPr>
                <w:rFonts w:asciiTheme="minorHAnsi" w:hAnsiTheme="minorHAnsi" w:cstheme="minorHAnsi"/>
                <w:color w:val="000000"/>
                <w:sz w:val="22"/>
                <w:szCs w:val="22"/>
              </w:rPr>
              <w:t>Directly affected: The number of people 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6813074"/>
            <w:bookmarkStart w:id="19" w:name="_Toc37932746"/>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N</w:t>
            </w:r>
            <w:r>
              <w:rPr>
                <w:rFonts w:hint="default"/>
                <w:lang w:val="en-CA"/>
              </w:rPr>
              <w:t xml:space="preserve">ational </w:t>
            </w:r>
            <w:r>
              <w:rPr>
                <w:rFonts w:hint="default"/>
              </w:rPr>
              <w:t>D</w:t>
            </w:r>
            <w:r>
              <w:rPr>
                <w:rFonts w:hint="default"/>
                <w:lang w:val="en-CA"/>
              </w:rPr>
              <w:t xml:space="preserve">isaster </w:t>
            </w:r>
            <w:r>
              <w:rPr>
                <w:rFonts w:hint="default"/>
              </w:rPr>
              <w:t>M</w:t>
            </w:r>
            <w:r>
              <w:rPr>
                <w:rFonts w:hint="default"/>
                <w:lang w:val="en-CA"/>
              </w:rPr>
              <w:t xml:space="preserve">anagement </w:t>
            </w:r>
            <w:r>
              <w:rPr>
                <w:rFonts w:hint="default"/>
              </w:rPr>
              <w:t>O</w:t>
            </w:r>
            <w:r>
              <w:rPr>
                <w:rFonts w:hint="default"/>
                <w:lang w:val="en-CA"/>
              </w:rPr>
              <w:t xml:space="preserve">rganisation (NADMO) </w:t>
            </w:r>
            <w:r>
              <w:rPr>
                <w:rFonts w:hint="default"/>
              </w:rPr>
              <w:t>Annual</w:t>
            </w:r>
            <w:r>
              <w:rPr>
                <w:rFonts w:hint="default"/>
                <w:lang w:val="en-CA"/>
              </w:rPr>
              <w:t xml:space="preserve"> R</w:t>
            </w:r>
            <w:r>
              <w:rPr>
                <w:rFonts w:hint="default"/>
              </w:rPr>
              <w:t xml:space="preserve">eport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National Disaster Management Organisation (NADMO)</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813075"/>
            <w:bookmarkStart w:id="21" w:name="_Toc36812575"/>
            <w:bookmarkStart w:id="22" w:name="_Toc37932747"/>
            <w:bookmarkStart w:id="23" w:name="_Toc36812688"/>
            <w:bookmarkStart w:id="24" w:name="_Toc36655612"/>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 xml:space="preserve">The indicator is based on the </w:t>
            </w:r>
            <w:r>
              <w:rPr>
                <w:rFonts w:cstheme="minorHAnsi"/>
              </w:rPr>
              <w:fldChar w:fldCharType="begin"/>
            </w:r>
            <w:r>
              <w:rPr>
                <w:rFonts w:cstheme="minorHAnsi"/>
              </w:rPr>
              <w:instrText xml:space="preserve"> HYPERLINK "https://www.undrr.org/publication/sendai-framework-disaster-risk-reduction-2015-2030" </w:instrText>
            </w:r>
            <w:r>
              <w:rPr>
                <w:rFonts w:cstheme="minorHAnsi"/>
              </w:rPr>
              <w:fldChar w:fldCharType="separate"/>
            </w:r>
            <w:r>
              <w:rPr>
                <w:rStyle w:val="18"/>
                <w:rFonts w:cstheme="minorHAnsi"/>
              </w:rPr>
              <w:t>Sendai Framework for Disaster Risk Reduction 2015-2030</w:t>
            </w:r>
            <w:r>
              <w:rPr>
                <w:rFonts w:cstheme="minorHAnsi"/>
              </w:rPr>
              <w:fldChar w:fldCharType="end"/>
            </w:r>
            <w:r>
              <w:rPr>
                <w:rFonts w:cstheme="minorHAnsi"/>
              </w:rPr>
              <w:t xml:space="preserve"> which was adopted by UN Member States in March 2015 as a global policy of disaster risk reduction. Two key targets of the framework are:</w:t>
            </w:r>
          </w:p>
          <w:p>
            <w:pPr>
              <w:autoSpaceDE w:val="0"/>
              <w:autoSpaceDN w:val="0"/>
              <w:adjustRightInd w:val="0"/>
              <w:spacing w:after="0" w:line="240" w:lineRule="auto"/>
              <w:rPr>
                <w:rFonts w:cstheme="minorHAnsi"/>
              </w:rPr>
            </w:pPr>
            <w:r>
              <w:rPr>
                <w:rFonts w:cstheme="minorHAnsi"/>
              </w:rPr>
              <w:t xml:space="preserve"> (i) To substantially reduce global disaster mortality by 2030, aiming to lower the average global figure per 100,000 global mortality between 2020 and 2030 compared with 2005-2015” and </w:t>
            </w:r>
          </w:p>
          <w:p>
            <w:pPr>
              <w:autoSpaceDE w:val="0"/>
              <w:autoSpaceDN w:val="0"/>
              <w:adjustRightInd w:val="0"/>
              <w:spacing w:after="0" w:line="240" w:lineRule="auto"/>
              <w:rPr>
                <w:rFonts w:cstheme="minorHAnsi"/>
              </w:rPr>
            </w:pPr>
            <w:r>
              <w:rPr>
                <w:rFonts w:cstheme="minorHAnsi"/>
              </w:rPr>
              <w:t>(ii) To substantially reduce the number of affected people globally by 2030, aiming to lower the average global figure per 100,000 between 2020 and 2030 compared with 2005-2015”.</w:t>
            </w:r>
          </w:p>
          <w:p>
            <w:pPr>
              <w:keepNext w:val="0"/>
              <w:keepLines w:val="0"/>
              <w:widowControl/>
              <w:suppressLineNumbers w:val="0"/>
              <w:spacing w:before="0" w:beforeAutospacing="0" w:afterAutospacing="0"/>
              <w:ind w:left="0" w:right="0"/>
              <w:rPr>
                <w:rFonts w:hint="default"/>
              </w:rPr>
            </w:pPr>
            <w:r>
              <w:rPr>
                <w:rFonts w:cstheme="minorHAnsi"/>
              </w:rPr>
              <w:t>Meeting the targets will contribute to sustainable development and strengthen economic, social, health and environmental resilience. The economic, environmental and social perspectives would include poverty eradication, urban resilience, and climate change adaptation.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8" w:afterAutospacing="0" w:line="266" w:lineRule="auto"/>
              <w:ind w:left="0" w:right="0"/>
              <w:jc w:val="left"/>
              <w:rPr>
                <w:rFonts w:hint="default"/>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6655613"/>
            <w:bookmarkStart w:id="26" w:name="_Toc36812689"/>
            <w:bookmarkStart w:id="27" w:name="_Toc36812576"/>
            <w:bookmarkStart w:id="28" w:name="_Toc37932748"/>
            <w:bookmarkStart w:id="29" w:name="_Toc36813076"/>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t xml:space="preserve">There is no </w:t>
            </w:r>
            <w:r>
              <w:rPr>
                <w:rFonts w:hint="default"/>
                <w:lang w:val="en-CA"/>
              </w:rPr>
              <w:t xml:space="preserve">available </w:t>
            </w:r>
            <w:r>
              <w:t>disaggregation</w:t>
            </w:r>
            <w:r>
              <w:rPr>
                <w:rFonts w:hint="default"/>
                <w:lang w:val="en-CA"/>
              </w:rPr>
              <w:t xml:space="preserve"> </w:t>
            </w:r>
            <w:r>
              <w:t xml:space="preserve"> for this data</w:t>
            </w:r>
            <w:r>
              <w:rPr>
                <w:rFonts w:hint="default"/>
                <w:lang w:val="en-CA"/>
              </w:rPr>
              <w: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Cambria Math">
    <w:panose1 w:val="02040503050406030204"/>
    <w:charset w:val="00"/>
    <w:family w:val="auto"/>
    <w:pitch w:val="default"/>
    <w:sig w:usb0="E00006FF" w:usb1="420024FF" w:usb2="02000000" w:usb3="00000000" w:csb0="2000019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16855"/>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2237"/>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1CA52A3"/>
    <w:rsid w:val="1B927A7F"/>
    <w:rsid w:val="1D436CDE"/>
    <w:rsid w:val="760E379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160" w:afterAutospacing="0" w:line="256" w:lineRule="auto"/>
      <w:ind w:left="0" w:right="0"/>
    </w:pPr>
    <w:rPr>
      <w:rFonts w:hint="default" w:ascii="Calibri" w:hAnsi="Calibri" w:cs="Times New Roman"/>
      <w:sz w:val="22"/>
      <w:szCs w:val="22"/>
    </w:rPr>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30DCF"/>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215569</Words>
  <Characters>1228747</Characters>
  <Lines>10239</Lines>
  <Paragraphs>2882</Paragraphs>
  <TotalTime>0</TotalTime>
  <ScaleCrop>false</ScaleCrop>
  <LinksUpToDate>false</LinksUpToDate>
  <CharactersWithSpaces>1441434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2021-11-04T14:04:00Z</dcterms:created>
  <dc:creator>Fanning, Stephen B (JMD)</dc:creator>
  <cp:lastModifiedBy>Doreen</cp:lastModifiedBy>
  <cp:lastPrinted>2020-04-16T14:23:00Z</cp:lastPrinted>
  <dcterms:modified xsi:type="dcterms:W3CDTF">2022-11-12T11:12:52Z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2D622B1EFF1D48348F8296BB3359939A</vt:lpwstr>
  </property>
</Properties>
</file>