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2.a.2 Total official flows (disbursements) for agriculture, by recipient countries [2.a.2] (DC_TOF_AGRL)</w:t>
          </w:r>
          <w:permEnd w:id="1"/>
        </w:p>
      </w:sdtContent>
    </w:sdt>
    <w:bookmark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812571"/>
            <w:bookmarkStart w:id="5" w:name="_Toc37932743"/>
            <w:bookmarkStart w:id="6" w:name="_Toc36813071"/>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
              <w:rPr>
                <w:rFonts w:asciiTheme="minorHAnsi" w:hAnsiTheme="minorHAnsi" w:cstheme="minorHAnsi"/>
                <w:color w:val="auto"/>
                <w:sz w:val="22"/>
                <w:szCs w:val="22"/>
              </w:rPr>
            </w:pPr>
            <w:r>
              <w:fldChar w:fldCharType="begin"/>
            </w:r>
            <w:r>
              <w:instrText xml:space="preserve"> HYPERLINK "https://sustainabledevelopment-ghana.github.io/zero-hunger" </w:instrText>
            </w:r>
            <w:r>
              <w:fldChar w:fldCharType="separate"/>
            </w:r>
            <w:r>
              <w:rPr>
                <w:rStyle w:val="53"/>
                <w:rFonts w:asciiTheme="minorHAnsi" w:hAnsiTheme="minorHAnsi" w:cstheme="minorHAnsi"/>
                <w:color w:val="auto"/>
                <w:sz w:val="22"/>
                <w:szCs w:val="22"/>
              </w:rPr>
              <w:t xml:space="preserve">Goal 2: </w:t>
            </w:r>
            <w:r>
              <w:rPr>
                <w:rStyle w:val="18"/>
                <w:rFonts w:asciiTheme="minorHAnsi" w:hAnsiTheme="minorHAnsi" w:cstheme="minorHAnsi"/>
                <w:color w:val="auto"/>
                <w:sz w:val="22"/>
                <w:szCs w:val="22"/>
                <w:u w:val="none"/>
              </w:rPr>
              <w:t>End hunger, achieve food security and improved nutrition and promote sustainable agriculture</w:t>
            </w:r>
            <w:r>
              <w:rPr>
                <w:rStyle w:val="18"/>
                <w:rFonts w:asciiTheme="minorHAnsi" w:hAnsiTheme="minorHAnsi" w:cstheme="minorHAnsi"/>
                <w:color w:val="auto"/>
                <w:sz w:val="22"/>
                <w:szCs w:val="22"/>
                <w:u w:val="none"/>
              </w:rPr>
              <w:fldChar w:fldCharType="end"/>
            </w:r>
          </w:p>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4"/>
              <w:rPr>
                <w:rFonts w:eastAsia="Times New Roman" w:cs="Times New Roman"/>
                <w:color w:val="333333"/>
                <w:lang w:eastAsia="en-GB"/>
              </w:rPr>
            </w:pPr>
            <w:r>
              <w:rPr>
                <w:rFonts w:eastAsia="Times New Roman" w:cs="Times New Roman"/>
                <w:color w:val="333333"/>
                <w:lang w:eastAsia="en-GB"/>
              </w:rPr>
              <w:t>Target 2.a: Increase investment, including through enhanced international cooperation, in rural infrastructure, agricultural research and extension services, technology development and plant and livestock gene banks in order to enhance agricultural productive capacity in developing countries, in particular least developed countries</w:t>
            </w:r>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rPr>
                <w:rFonts w:asciiTheme="minorHAnsi" w:hAnsiTheme="minorHAnsi" w:cstheme="minorHAnsi"/>
                <w:color w:val="auto"/>
                <w:sz w:val="22"/>
                <w:szCs w:val="22"/>
              </w:rPr>
            </w:pPr>
            <w:r>
              <w:rPr>
                <w:rFonts w:asciiTheme="minorHAnsi" w:hAnsiTheme="minorHAnsi" w:cstheme="minorHAnsi"/>
                <w:color w:val="auto"/>
                <w:sz w:val="22"/>
                <w:szCs w:val="22"/>
              </w:rPr>
              <w:t>Indicator 2.a.2: Total official flows (official development assistance plus other official flows) to the agriculture sector</w:t>
            </w: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bookmarkStart w:id="38" w:name="_GoBack"/>
            <w:bookmarkEnd w:id="38"/>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Organisation for Economic Co-operation and Development (OECD)</w:t>
            </w:r>
          </w:p>
          <w:p>
            <w:pPr>
              <w:shd w:val="clear" w:color="auto" w:fill="FFFFFF"/>
              <w:spacing w:after="0"/>
              <w:rPr>
                <w:rFonts w:eastAsia="Times New Roman" w:cs="Times New Roman"/>
                <w:color w:val="4A4A4A"/>
                <w:sz w:val="21"/>
                <w:szCs w:val="21"/>
                <w:lang w:eastAsia="en-GB"/>
              </w:rPr>
            </w:pP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3072"/>
            <w:bookmarkStart w:id="10" w:name="_Toc36655609"/>
            <w:bookmarkStart w:id="11" w:name="_Toc36812685"/>
            <w:bookmarkStart w:id="12" w:name="_Toc36812572"/>
            <w:r>
              <w:rPr>
                <w:sz w:val="32"/>
                <w:szCs w:val="32"/>
              </w:rPr>
              <w:t>1. Data reporter</w:t>
            </w:r>
            <w:bookmarkEnd w:id="8"/>
            <w:bookmarkEnd w:id="9"/>
            <w:bookmarkEnd w:id="10"/>
            <w:bookmarkEnd w:id="11"/>
            <w:bookmarkEnd w:id="12"/>
          </w:p>
        </w:tc>
      </w:tr>
      <w:tr>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Investment Promotion Centre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7932745"/>
            <w:bookmarkStart w:id="15" w:name="_Toc36655610"/>
            <w:bookmarkStart w:id="16" w:name="_Toc36813073"/>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r>
              <w:t>Percentage of total Foreign Direct Investment that flows into agriculture sector refers to the proportion of total private capital flows from abroad/overseas that goes into the agricultural sector per annum, where agriculture entails Crops, Livestock, Fishing, Forestry and Logging i.e. it is total foreign direct investment flows into the agricultural sector divided by the total foreign direct investment inflows registered.</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eastAsia="Arial" w:cstheme="minorHAnsi"/>
              </w:rPr>
              <w:t>2019 GIPC Annual Report</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Annually</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Investment Promotion Centre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655612"/>
            <w:bookmarkStart w:id="22" w:name="_Toc36812575"/>
            <w:bookmarkStart w:id="23" w:name="_Toc368130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eastAsia="SimSun" w:cstheme="minorHAnsi"/>
                <w:color w:val="000000"/>
              </w:rPr>
              <w:t>Total ODA and OOF flows to developing countries quantify the public effort (excluding export credits) that donors provide to developing countries for agriculture.</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rPr>
                <w:rFonts w:cstheme="minorHAnsi"/>
              </w:rPr>
            </w:p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cstheme="minorHAnsi"/>
              </w:rPr>
            </w:pPr>
            <w:r>
              <w:rPr>
                <w:rFonts w:cstheme="minorHAnsi"/>
              </w:rPr>
              <w:t>The indicator, Percentage of total Foreign Direct Investment that flows into agriculture sector, is calculated by dividing total agricultural foreign direct investment inflows by the overall total foreign direct investment inflows registered.</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2576"/>
            <w:bookmarkStart w:id="27" w:name="_Toc36812689"/>
            <w:bookmarkStart w:id="28" w:name="_Toc36655613"/>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r>
              <w:t>The data has no disaggregation</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75"/>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87A8C"/>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36F6"/>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3BDD"/>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2AC0"/>
    <w:rsid w:val="00A3532A"/>
    <w:rsid w:val="00A35656"/>
    <w:rsid w:val="00A36E8B"/>
    <w:rsid w:val="00A4314D"/>
    <w:rsid w:val="00A5114C"/>
    <w:rsid w:val="00A64C04"/>
    <w:rsid w:val="00A67357"/>
    <w:rsid w:val="00A804A0"/>
    <w:rsid w:val="00A91915"/>
    <w:rsid w:val="00A92C73"/>
    <w:rsid w:val="00AA38A9"/>
    <w:rsid w:val="00AB45E5"/>
    <w:rsid w:val="00AB65AE"/>
    <w:rsid w:val="00AD26C4"/>
    <w:rsid w:val="00AE7A74"/>
    <w:rsid w:val="00AF2FE1"/>
    <w:rsid w:val="00B04533"/>
    <w:rsid w:val="00B137EE"/>
    <w:rsid w:val="00B13CEC"/>
    <w:rsid w:val="00B66AF3"/>
    <w:rsid w:val="00B71AEA"/>
    <w:rsid w:val="00B74489"/>
    <w:rsid w:val="00B8102F"/>
    <w:rsid w:val="00B818CA"/>
    <w:rsid w:val="00B9347F"/>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265A0"/>
    <w:rsid w:val="00F54570"/>
    <w:rsid w:val="00F75853"/>
    <w:rsid w:val="00F7784D"/>
    <w:rsid w:val="00F8144F"/>
    <w:rsid w:val="00F8462A"/>
    <w:rsid w:val="00F862A7"/>
    <w:rsid w:val="00F93763"/>
    <w:rsid w:val="00F939A2"/>
    <w:rsid w:val="00F96E8D"/>
    <w:rsid w:val="00FA20D9"/>
    <w:rsid w:val="00FB03D0"/>
    <w:rsid w:val="00FD54D7"/>
    <w:rsid w:val="00FF642D"/>
    <w:rsid w:val="28FC347F"/>
    <w:rsid w:val="2B5933CE"/>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02057"/>
    <w:rsid w:val="00296525"/>
    <w:rsid w:val="0036646D"/>
    <w:rsid w:val="006153AA"/>
    <w:rsid w:val="0064052E"/>
    <w:rsid w:val="00705A94"/>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215626</Words>
  <Characters>1229069</Characters>
  <Lines>10242</Lines>
  <Paragraphs>2883</Paragraphs>
  <TotalTime>42</TotalTime>
  <ScaleCrop>false</ScaleCrop>
  <LinksUpToDate>false</LinksUpToDate>
  <CharactersWithSpaces>1441812</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2021-10-18T11:20:00Z</dcterms:created>
  <dc:creator>Fanning, Stephen B (JMD)</dc:creator>
  <cp:lastModifiedBy>origi</cp:lastModifiedBy>
  <cp:lastPrinted>2020-04-16T14:23:00Z</cp:lastPrinted>
  <dcterms:modified xsi:type="dcterms:W3CDTF">2022-10-04T10:01:57Z</dcterms:modified>
  <cp:revision>6</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17C8F400C18A4B6491C2481AA395404D</vt:lpwstr>
  </property>
</Properties>
</file>