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0.0.0 National series not in global framework (_)</w:t>
          </w:r>
          <w:bookmarkEnd w:id="1"/>
        </w:p>
      </w:sdtContent>
    </w:sdt>
    <w:perm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39.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199.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655608"/>
            <w:bookmarkStart w:id="5" w:name="_Toc36812684"/>
            <w:bookmarkStart w:id="6" w:name="_Toc37932743"/>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2"/>
            </w:pPr>
            <w:r>
              <w:rPr>
                <w:rStyle w:val="54"/>
                <w:rFonts w:ascii="Calibri" w:hAnsi="Calibri" w:cs="Calibri"/>
                <w:color w:val="333333"/>
              </w:rP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2"/>
            </w:pPr>
            <w:r>
              <w:rPr>
                <w:rStyle w:val="54"/>
                <w:rFonts w:ascii="Calibri" w:hAnsi="Calibri" w:cs="Calibri"/>
                <w:color w:val="333333"/>
              </w:rPr>
              <w:t>Target 3.7: By 2030, ensure universal access to sexual and reproductive health-care services, including for family planning, information and education, and the integration of reproductive health into national strategies and programmes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sz w:val="21"/>
                <w:szCs w:val="21"/>
              </w:rPr>
              <w:t>I</w:t>
            </w:r>
            <w:r>
              <w:t>ndicator 3.7.1: Proportion of women of reproductive age (aged 15-49 years) who have their need for family planning satisfied with modern methods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0"/>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rPr>
                <w:rFonts w:ascii="Segoe UI" w:hAnsi="Segoe UI" w:cs="Segoe UI"/>
                <w:sz w:val="22"/>
                <w:szCs w:val="22"/>
              </w:rPr>
            </w:pPr>
            <w:bookmarkStart w:id="8" w:name="_Hlk58263184"/>
            <w:r>
              <w:rPr>
                <w:rStyle w:val="54"/>
                <w:rFonts w:ascii="Calibri" w:hAnsi="Calibri" w:cs="Calibri"/>
                <w:color w:val="4A4A4A"/>
                <w:sz w:val="22"/>
                <w:szCs w:val="22"/>
              </w:rPr>
              <w:t>Population Division, Department of Economic and Social Affairs (DESA)</w:t>
            </w:r>
            <w:r>
              <w:rPr>
                <w:rStyle w:val="55"/>
                <w:rFonts w:ascii="Calibri" w:hAnsi="Calibri" w:cs="Calibri"/>
                <w:color w:val="4A4A4A"/>
                <w:sz w:val="22"/>
                <w:szCs w:val="22"/>
              </w:rPr>
              <w:t> </w:t>
            </w:r>
          </w:p>
          <w:p>
            <w:pPr>
              <w:pStyle w:val="30"/>
            </w:pPr>
            <w:r>
              <w:rPr>
                <w:rStyle w:val="54"/>
                <w:rFonts w:ascii="Calibri" w:hAnsi="Calibri" w:cs="Calibri"/>
                <w:color w:val="4A4A4A"/>
                <w:sz w:val="22"/>
                <w:szCs w:val="22"/>
              </w:rPr>
              <w:t>United Nations Population</w:t>
            </w:r>
            <w:r>
              <w:rPr>
                <w:rStyle w:val="54"/>
                <w:rFonts w:ascii="Arial" w:hAnsi="Arial" w:cs="Arial"/>
                <w:color w:val="4A4A4A"/>
                <w:sz w:val="22"/>
                <w:szCs w:val="22"/>
              </w:rPr>
              <w:t> </w:t>
            </w:r>
            <w:r>
              <w:rPr>
                <w:rStyle w:val="54"/>
                <w:rFonts w:ascii="Calibri" w:hAnsi="Calibri" w:cs="Calibri"/>
                <w:color w:val="4A4A4A"/>
                <w:sz w:val="22"/>
                <w:szCs w:val="22"/>
              </w:rPr>
              <w:t>Fund (UNFPA)</w:t>
            </w:r>
            <w:r>
              <w:rPr>
                <w:rStyle w:val="55"/>
                <w:rFonts w:ascii="Calibri" w:hAnsi="Calibri" w:cs="Calibri"/>
                <w:color w:val="4A4A4A"/>
                <w:sz w:val="22"/>
                <w:szCs w:val="22"/>
              </w:rPr>
              <w:t> </w:t>
            </w:r>
            <w:bookmarkEnd w:id="8"/>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9" w:name="_Toc36812685"/>
            <w:bookmarkStart w:id="10" w:name="_Toc36655609"/>
            <w:bookmarkStart w:id="11" w:name="_Toc36812572"/>
            <w:bookmarkStart w:id="12" w:name="_Toc37932744"/>
            <w:bookmarkStart w:id="13" w:name="_Toc36813072"/>
            <w:r>
              <w:rPr>
                <w:sz w:val="32"/>
                <w:szCs w:val="32"/>
              </w:rPr>
              <w:t>1. Data reporter</w:t>
            </w:r>
            <w:bookmarkEnd w:id="9"/>
            <w:bookmarkEnd w:id="10"/>
            <w:bookmarkEnd w:id="11"/>
            <w:bookmarkEnd w:id="12"/>
            <w:bookmarkEnd w:id="13"/>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4" w:name="_Toc36812686"/>
            <w:bookmarkStart w:id="15" w:name="_Toc37932745"/>
            <w:bookmarkStart w:id="16" w:name="_Toc36813073"/>
            <w:bookmarkStart w:id="17" w:name="_Toc36655610"/>
            <w:bookmarkStart w:id="18" w:name="_Toc36812573"/>
            <w:r>
              <w:rPr>
                <w:sz w:val="32"/>
                <w:szCs w:val="32"/>
              </w:rPr>
              <w:t>2. Definition, concepts, and classifications</w:t>
            </w:r>
            <w:bookmarkEnd w:id="14"/>
            <w:bookmarkEnd w:id="15"/>
            <w:bookmarkEnd w:id="16"/>
            <w:bookmarkEnd w:id="17"/>
            <w:bookmarkEnd w:id="18"/>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56"/>
              <w:shd w:val="clear" w:color="auto" w:fill="FFFFFF"/>
              <w:spacing w:before="0" w:beforeAutospacing="0" w:after="0" w:afterAutospacing="0"/>
              <w:textAlignment w:val="baseline"/>
              <w:rPr>
                <w:rStyle w:val="55"/>
                <w:rFonts w:cs="Calibri" w:asciiTheme="minorHAnsi" w:hAnsiTheme="minorHAnsi" w:eastAsiaTheme="minorEastAsia"/>
                <w:color w:val="4A4A4A"/>
                <w:sz w:val="22"/>
                <w:szCs w:val="22"/>
              </w:rPr>
            </w:pPr>
            <w:r>
              <w:rPr>
                <w:rStyle w:val="54"/>
                <w:rFonts w:cs="Calibri" w:asciiTheme="minorHAnsi" w:hAnsiTheme="minorHAnsi"/>
                <w:b/>
                <w:bCs/>
                <w:color w:val="4A4A4A"/>
                <w:sz w:val="22"/>
                <w:szCs w:val="22"/>
                <w:lang w:val="en-GB"/>
              </w:rPr>
              <w:t>Definition:</w:t>
            </w:r>
            <w:r>
              <w:rPr>
                <w:rStyle w:val="55"/>
                <w:rFonts w:cs="Calibri" w:asciiTheme="minorHAnsi" w:hAnsiTheme="minorHAnsi" w:eastAsiaTheme="minorEastAsia"/>
                <w:color w:val="4A4A4A"/>
                <w:sz w:val="22"/>
                <w:szCs w:val="22"/>
              </w:rPr>
              <w:t> </w:t>
            </w:r>
          </w:p>
          <w:p>
            <w:pPr>
              <w:pStyle w:val="56"/>
              <w:shd w:val="clear" w:color="auto" w:fill="FFFFFF"/>
              <w:spacing w:before="0" w:beforeAutospacing="0" w:after="0" w:afterAutospacing="0"/>
              <w:textAlignment w:val="baseline"/>
              <w:rPr>
                <w:rStyle w:val="55"/>
                <w:rFonts w:cs="Calibri" w:asciiTheme="minorHAnsi" w:hAnsiTheme="minorHAnsi" w:eastAsiaTheme="minorEastAsia"/>
                <w:color w:val="4A4A4A"/>
                <w:sz w:val="22"/>
                <w:szCs w:val="22"/>
              </w:rPr>
            </w:pPr>
          </w:p>
          <w:p>
            <w:pPr>
              <w:pStyle w:val="56"/>
              <w:shd w:val="clear" w:color="auto" w:fill="FFFFFF"/>
              <w:spacing w:before="0" w:beforeAutospacing="0" w:after="0" w:afterAutospacing="0"/>
              <w:textAlignment w:val="baseline"/>
              <w:rPr>
                <w:rFonts w:cs="Segoe UI" w:asciiTheme="minorHAnsi" w:hAnsiTheme="minorHAnsi"/>
                <w:sz w:val="22"/>
                <w:szCs w:val="22"/>
              </w:rPr>
            </w:pPr>
            <w:r>
              <w:rPr>
                <w:rStyle w:val="54"/>
                <w:rFonts w:cs="Calibri" w:asciiTheme="minorHAnsi" w:hAnsiTheme="minorHAnsi"/>
                <w:color w:val="4A4A4A"/>
                <w:sz w:val="22"/>
                <w:szCs w:val="22"/>
                <w:lang w:val="en-GB"/>
              </w:rPr>
              <w:t>The percentage of women of reproductive age (15-49 years) currently using a modern method of contraception among those who desire either to have no (additional) children or to postpone the next pregnancy</w:t>
            </w:r>
            <w:r>
              <w:rPr>
                <w:rStyle w:val="54"/>
                <w:rFonts w:cs="Arial" w:asciiTheme="minorHAnsi" w:hAnsiTheme="minorHAnsi"/>
                <w:color w:val="4A4A4A"/>
                <w:sz w:val="22"/>
                <w:szCs w:val="22"/>
                <w:lang w:val="en-GB"/>
              </w:rPr>
              <w:t>.</w:t>
            </w:r>
            <w:r>
              <w:rPr>
                <w:rStyle w:val="54"/>
                <w:rFonts w:cs="Calibri" w:asciiTheme="minorHAnsi" w:hAnsiTheme="minorHAnsi"/>
                <w:color w:val="4A4A4A"/>
                <w:sz w:val="22"/>
                <w:szCs w:val="22"/>
                <w:lang w:val="en-GB"/>
              </w:rPr>
              <w:t> The indicator is also referred to as the demand for family planning satisfied with modern methods</w:t>
            </w:r>
            <w:r>
              <w:rPr>
                <w:rStyle w:val="54"/>
                <w:rFonts w:cs="Arial" w:asciiTheme="minorHAnsi" w:hAnsiTheme="minorHAnsi"/>
                <w:color w:val="4A4A4A"/>
                <w:sz w:val="22"/>
                <w:szCs w:val="22"/>
                <w:lang w:val="en-GB"/>
              </w:rPr>
              <w:t>.</w:t>
            </w:r>
            <w:r>
              <w:rPr>
                <w:rStyle w:val="55"/>
                <w:rFonts w:cs="Arial" w:asciiTheme="minorHAnsi" w:hAnsiTheme="minorHAnsi" w:eastAsiaTheme="minorEastAsia"/>
                <w:color w:val="4A4A4A"/>
                <w:sz w:val="22"/>
                <w:szCs w:val="22"/>
              </w:rPr>
              <w:t> </w:t>
            </w:r>
          </w:p>
          <w:p>
            <w:pPr>
              <w:pStyle w:val="56"/>
              <w:shd w:val="clear" w:color="auto" w:fill="FFFFFF"/>
              <w:spacing w:before="0" w:beforeAutospacing="0" w:after="0" w:afterAutospacing="0"/>
              <w:textAlignment w:val="baseline"/>
              <w:rPr>
                <w:rFonts w:cs="Segoe UI" w:asciiTheme="minorHAnsi" w:hAnsiTheme="minorHAnsi"/>
                <w:sz w:val="22"/>
                <w:szCs w:val="22"/>
              </w:rPr>
            </w:pPr>
            <w:r>
              <w:rPr>
                <w:rStyle w:val="55"/>
                <w:rFonts w:cs="Arial" w:asciiTheme="minorHAnsi" w:hAnsiTheme="minorHAnsi" w:eastAsiaTheme="minorEastAsia"/>
                <w:color w:val="4A4A4A"/>
                <w:sz w:val="22"/>
                <w:szCs w:val="22"/>
              </w:rPr>
              <w:t> </w:t>
            </w:r>
          </w:p>
          <w:p>
            <w:pPr>
              <w:pStyle w:val="56"/>
              <w:shd w:val="clear" w:color="auto" w:fill="FFFFFF"/>
              <w:spacing w:before="0" w:beforeAutospacing="0" w:after="0" w:afterAutospacing="0"/>
              <w:textAlignment w:val="baseline"/>
              <w:rPr>
                <w:rStyle w:val="55"/>
                <w:rFonts w:cs="Calibri" w:asciiTheme="minorHAnsi" w:hAnsiTheme="minorHAnsi" w:eastAsiaTheme="minorEastAsia"/>
                <w:color w:val="4A4A4A"/>
                <w:sz w:val="22"/>
                <w:szCs w:val="22"/>
              </w:rPr>
            </w:pPr>
            <w:r>
              <w:rPr>
                <w:rStyle w:val="54"/>
                <w:rFonts w:cs="Calibri" w:asciiTheme="minorHAnsi" w:hAnsiTheme="minorHAnsi"/>
                <w:b/>
                <w:bCs/>
                <w:color w:val="4A4A4A"/>
                <w:sz w:val="22"/>
                <w:szCs w:val="22"/>
                <w:lang w:val="en-GB"/>
              </w:rPr>
              <w:t>Concepts:</w:t>
            </w:r>
            <w:r>
              <w:rPr>
                <w:rStyle w:val="55"/>
                <w:rFonts w:cs="Calibri" w:asciiTheme="minorHAnsi" w:hAnsiTheme="minorHAnsi" w:eastAsiaTheme="minorEastAsia"/>
                <w:color w:val="4A4A4A"/>
                <w:sz w:val="22"/>
                <w:szCs w:val="22"/>
              </w:rPr>
              <w:t> </w:t>
            </w:r>
          </w:p>
          <w:p>
            <w:pPr>
              <w:pStyle w:val="56"/>
              <w:shd w:val="clear" w:color="auto" w:fill="FFFFFF"/>
              <w:spacing w:before="0" w:beforeAutospacing="0" w:after="0" w:afterAutospacing="0"/>
              <w:textAlignment w:val="baseline"/>
              <w:rPr>
                <w:rStyle w:val="55"/>
                <w:rFonts w:cs="Calibri" w:asciiTheme="minorHAnsi" w:hAnsiTheme="minorHAnsi" w:eastAsiaTheme="minorEastAsia"/>
                <w:color w:val="4A4A4A"/>
                <w:sz w:val="22"/>
                <w:szCs w:val="22"/>
              </w:rPr>
            </w:pPr>
          </w:p>
          <w:p>
            <w:pPr>
              <w:pStyle w:val="56"/>
              <w:shd w:val="clear" w:color="auto" w:fill="FFFFFF"/>
              <w:spacing w:before="0" w:beforeAutospacing="0" w:after="0" w:afterAutospacing="0"/>
              <w:textAlignment w:val="baseline"/>
              <w:rPr>
                <w:rFonts w:cs="Segoe UI" w:asciiTheme="minorHAnsi" w:hAnsiTheme="minorHAnsi"/>
                <w:sz w:val="22"/>
                <w:szCs w:val="22"/>
              </w:rPr>
            </w:pPr>
            <w:r>
              <w:rPr>
                <w:rStyle w:val="54"/>
                <w:rFonts w:cs="Calibri" w:asciiTheme="minorHAnsi" w:hAnsiTheme="minorHAnsi"/>
                <w:color w:val="4A4A4A"/>
                <w:sz w:val="22"/>
                <w:szCs w:val="22"/>
                <w:lang w:val="en-GB"/>
              </w:rPr>
              <w:t>The percentage of women of reproductive age (15-49 years) who have their need for family planning satisfied with modern methods is also referred to as the proportion of demand satisfied by modern methods. The components of the indicator are contraceptive prevalence (any method and modern methods) and unmet need for family planning.</w:t>
            </w:r>
            <w:r>
              <w:rPr>
                <w:rStyle w:val="54"/>
                <w:rFonts w:cs="Arial" w:asciiTheme="minorHAnsi" w:hAnsiTheme="minorHAnsi"/>
                <w:color w:val="4A4A4A"/>
                <w:sz w:val="22"/>
                <w:szCs w:val="22"/>
                <w:lang w:val="en-GB"/>
              </w:rPr>
              <w:t> </w:t>
            </w:r>
            <w:r>
              <w:rPr>
                <w:rStyle w:val="55"/>
                <w:rFonts w:cs="Arial" w:asciiTheme="minorHAnsi" w:hAnsiTheme="minorHAnsi" w:eastAsiaTheme="minorEastAsia"/>
                <w:color w:val="4A4A4A"/>
                <w:sz w:val="22"/>
                <w:szCs w:val="22"/>
              </w:rPr>
              <w:t> </w:t>
            </w:r>
          </w:p>
          <w:p>
            <w:pPr>
              <w:pStyle w:val="56"/>
              <w:shd w:val="clear" w:color="auto" w:fill="FFFFFF"/>
              <w:spacing w:before="0" w:beforeAutospacing="0" w:after="0" w:afterAutospacing="0"/>
              <w:textAlignment w:val="baseline"/>
              <w:rPr>
                <w:rFonts w:cs="Segoe UI" w:asciiTheme="minorHAnsi" w:hAnsiTheme="minorHAnsi"/>
                <w:sz w:val="22"/>
                <w:szCs w:val="22"/>
              </w:rPr>
            </w:pPr>
            <w:r>
              <w:rPr>
                <w:rStyle w:val="55"/>
                <w:rFonts w:cs="Arial" w:asciiTheme="minorHAnsi" w:hAnsiTheme="minorHAnsi" w:eastAsiaTheme="minorEastAsia"/>
                <w:color w:val="4A4A4A"/>
                <w:sz w:val="22"/>
                <w:szCs w:val="22"/>
              </w:rPr>
              <w:t> </w:t>
            </w:r>
          </w:p>
          <w:p>
            <w:pPr>
              <w:pStyle w:val="56"/>
              <w:shd w:val="clear" w:color="auto" w:fill="FFFFFF"/>
              <w:spacing w:before="0" w:beforeAutospacing="0" w:after="0" w:afterAutospacing="0"/>
              <w:textAlignment w:val="baseline"/>
              <w:rPr>
                <w:rFonts w:cs="Segoe UI" w:asciiTheme="minorHAnsi" w:hAnsiTheme="minorHAnsi"/>
                <w:sz w:val="22"/>
                <w:szCs w:val="22"/>
              </w:rPr>
            </w:pPr>
            <w:r>
              <w:rPr>
                <w:rStyle w:val="54"/>
                <w:rFonts w:cs="Calibri" w:asciiTheme="minorHAnsi" w:hAnsiTheme="minorHAnsi"/>
                <w:color w:val="4A4A4A"/>
                <w:sz w:val="22"/>
                <w:szCs w:val="22"/>
                <w:lang w:val="en-GB"/>
              </w:rPr>
              <w:t>Contraceptive prevalence is the percentage of women who are currently using, or whose partner is currently using, at least one method of contraception, regardless of the method used. </w:t>
            </w:r>
            <w:r>
              <w:rPr>
                <w:rStyle w:val="55"/>
                <w:rFonts w:cs="Calibri" w:asciiTheme="minorHAnsi" w:hAnsiTheme="minorHAnsi" w:eastAsiaTheme="minorEastAsia"/>
                <w:color w:val="4A4A4A"/>
                <w:sz w:val="22"/>
                <w:szCs w:val="22"/>
              </w:rPr>
              <w:t> </w:t>
            </w:r>
          </w:p>
          <w:p>
            <w:pPr>
              <w:pStyle w:val="56"/>
              <w:shd w:val="clear" w:color="auto" w:fill="FFFFFF"/>
              <w:spacing w:before="0" w:beforeAutospacing="0" w:after="0" w:afterAutospacing="0"/>
              <w:textAlignment w:val="baseline"/>
              <w:rPr>
                <w:rFonts w:cs="Segoe UI" w:asciiTheme="minorHAnsi" w:hAnsiTheme="minorHAnsi"/>
                <w:sz w:val="22"/>
                <w:szCs w:val="22"/>
              </w:rPr>
            </w:pPr>
            <w:r>
              <w:rPr>
                <w:rStyle w:val="55"/>
                <w:rFonts w:cs="Arial" w:asciiTheme="minorHAnsi" w:hAnsiTheme="minorHAnsi" w:eastAsiaTheme="minorEastAsia"/>
                <w:color w:val="4A4A4A"/>
                <w:sz w:val="22"/>
                <w:szCs w:val="22"/>
              </w:rPr>
              <w:t>  </w:t>
            </w:r>
          </w:p>
          <w:p>
            <w:pPr>
              <w:pStyle w:val="56"/>
              <w:shd w:val="clear" w:color="auto" w:fill="FFFFFF"/>
              <w:spacing w:before="0" w:beforeAutospacing="0" w:after="0" w:afterAutospacing="0"/>
              <w:textAlignment w:val="baseline"/>
            </w:pPr>
            <w:r>
              <w:rPr>
                <w:rStyle w:val="54"/>
                <w:rFonts w:cs="Calibri" w:asciiTheme="minorHAnsi" w:hAnsiTheme="minorHAnsi"/>
                <w:color w:val="4A4A4A"/>
                <w:sz w:val="22"/>
                <w:szCs w:val="22"/>
                <w:lang w:val="en-GB"/>
              </w:rPr>
              <w:t>Unmet need for family planning is defined as the percentage of women of reproductive age who want to stop or delay childbearing but are not using any method of contraception.</w:t>
            </w:r>
            <w:r>
              <w:rPr>
                <w:rStyle w:val="54"/>
                <w:rFonts w:cs="Arial" w:asciiTheme="minorHAnsi" w:hAnsiTheme="minorHAnsi"/>
                <w:color w:val="4A4A4A"/>
                <w:sz w:val="22"/>
                <w:szCs w:val="22"/>
                <w:lang w:val="en-GB"/>
              </w:rPr>
              <w:t> </w:t>
            </w:r>
            <w:r>
              <w:rPr>
                <w:rStyle w:val="54"/>
                <w:rFonts w:cs="Calibri" w:asciiTheme="minorHAnsi" w:hAnsiTheme="minorHAnsi"/>
                <w:color w:val="4A4A4A"/>
                <w:sz w:val="22"/>
                <w:szCs w:val="22"/>
                <w:lang w:val="en-GB"/>
              </w:rPr>
              <w:t>The standard definition of unmet need for family planning includes women who are fecund and sexually active, and who report not wanting any (more) children, or who report wanting to delay the birth of their next child for at least two years or are undecided about the timing of the next birth, but who are not using any method of contraception.</w:t>
            </w:r>
            <w:r>
              <w:rPr>
                <w:rStyle w:val="54"/>
                <w:rFonts w:cs="Arial" w:asciiTheme="minorHAnsi" w:hAnsiTheme="minorHAnsi"/>
                <w:color w:val="4A4A4A"/>
                <w:sz w:val="22"/>
                <w:szCs w:val="22"/>
                <w:lang w:val="en-GB"/>
              </w:rPr>
              <w:t> </w:t>
            </w:r>
            <w:r>
              <w:rPr>
                <w:rStyle w:val="55"/>
                <w:rFonts w:cs="Calibri" w:asciiTheme="minorHAnsi" w:hAnsiTheme="minorHAnsi" w:eastAsiaTheme="minorEastAsia"/>
                <w:color w:val="4A4A4A"/>
                <w:sz w:val="22"/>
                <w:szCs w:val="22"/>
              </w:rPr>
              <w:t>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9" w:name="_Toc36813074"/>
            <w:bookmarkStart w:id="20" w:name="_Toc37932746"/>
            <w:r>
              <w:rPr>
                <w:sz w:val="32"/>
                <w:szCs w:val="32"/>
              </w:rPr>
              <w:t>3. Data source type and data collection method</w:t>
            </w:r>
            <w:bookmarkEnd w:id="19"/>
            <w:bookmarkEnd w:id="20"/>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cstheme="minorHAnsi"/>
                <w:lang w:val="en-CA"/>
              </w:rPr>
            </w:pPr>
            <w:r>
              <w:rPr>
                <w:rFonts w:cstheme="minorHAnsi"/>
                <w:color w:val="262626"/>
              </w:rPr>
              <w:t>G</w:t>
            </w:r>
            <w:r>
              <w:rPr>
                <w:rFonts w:hint="default" w:cstheme="minorHAnsi"/>
                <w:color w:val="262626"/>
                <w:lang w:val="en-CA"/>
              </w:rPr>
              <w:t xml:space="preserve">hana </w:t>
            </w:r>
            <w:r>
              <w:rPr>
                <w:rFonts w:cstheme="minorHAnsi"/>
                <w:color w:val="262626"/>
              </w:rPr>
              <w:t>D</w:t>
            </w:r>
            <w:r>
              <w:rPr>
                <w:rFonts w:hint="default" w:cstheme="minorHAnsi"/>
                <w:color w:val="262626"/>
                <w:lang w:val="en-CA"/>
              </w:rPr>
              <w:t xml:space="preserve">emographic and </w:t>
            </w:r>
            <w:r>
              <w:rPr>
                <w:rFonts w:cstheme="minorHAnsi"/>
                <w:color w:val="262626"/>
              </w:rPr>
              <w:t>H</w:t>
            </w:r>
            <w:r>
              <w:rPr>
                <w:rFonts w:hint="default" w:cstheme="minorHAnsi"/>
                <w:color w:val="262626"/>
                <w:lang w:val="en-CA"/>
              </w:rPr>
              <w:t xml:space="preserve">ealth </w:t>
            </w:r>
            <w:r>
              <w:rPr>
                <w:rFonts w:cstheme="minorHAnsi"/>
                <w:color w:val="262626"/>
              </w:rPr>
              <w:t>S</w:t>
            </w:r>
            <w:r>
              <w:rPr>
                <w:rFonts w:hint="default" w:cstheme="minorHAnsi"/>
                <w:color w:val="262626"/>
                <w:lang w:val="en-CA"/>
              </w:rPr>
              <w:t xml:space="preserve">urvey </w:t>
            </w:r>
            <w:r>
              <w:rPr>
                <w:rFonts w:cstheme="minorHAnsi"/>
                <w:color w:val="262626"/>
              </w:rPr>
              <w:t xml:space="preserve"> Various Edition</w:t>
            </w:r>
            <w:r>
              <w:rPr>
                <w:rFonts w:hint="default" w:cstheme="minorHAnsi"/>
                <w:color w:val="262626"/>
                <w:lang w:val="en-CA"/>
              </w:rPr>
              <w:t>s</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 xml:space="preserve">Ghana </w:t>
            </w:r>
            <w:r>
              <w:rPr>
                <w:rFonts w:hint="default"/>
                <w:lang w:val="en-CA"/>
              </w:rPr>
              <w:t>S</w:t>
            </w:r>
            <w:r>
              <w:t xml:space="preserve">tatistical </w:t>
            </w:r>
            <w:r>
              <w:rPr>
                <w:rFonts w:hint="default"/>
                <w:lang w:val="en-CA"/>
              </w:rPr>
              <w:t>S</w:t>
            </w:r>
            <w:r>
              <w:t>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1" w:name="_Toc36812575"/>
            <w:bookmarkStart w:id="22" w:name="_Toc36655612"/>
            <w:bookmarkStart w:id="23" w:name="_Toc36812688"/>
            <w:bookmarkStart w:id="24" w:name="_Toc37932747"/>
            <w:bookmarkStart w:id="25" w:name="_Toc36813075"/>
            <w:r>
              <w:rPr>
                <w:sz w:val="32"/>
                <w:szCs w:val="32"/>
              </w:rPr>
              <w:t>4. Other methodological considerations</w:t>
            </w:r>
            <w:bookmarkEnd w:id="21"/>
            <w:bookmarkEnd w:id="22"/>
            <w:bookmarkEnd w:id="23"/>
            <w:bookmarkEnd w:id="24"/>
            <w:bookmarkEnd w:id="25"/>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pPr>
            <w:r>
              <w:rPr>
                <w:rFonts w:asciiTheme="minorHAnsi" w:hAnsiTheme="minorHAnsi"/>
                <w:color w:val="000000"/>
                <w:sz w:val="22"/>
                <w:szCs w:val="22"/>
              </w:rPr>
              <w:t>The proportion of demand for family planning satisfied with modern methods is useful in assessing overall levels of coverage for family planning programmes and services. Access to and use of an effective means to prevent pregnancy helps enable women and their partners to exercise their rights to decide freely and responsibly the number and spacing of their children and to have the information, education and means to do so. Meeting demand for family planning with modern methods also contributes to maternal and child health by preventing unintended pregnancies and closely spaced pregnancies, which are at higher risk for poor obstetrical outcomes.</w:t>
            </w:r>
            <w:bookmarkStart w:id="39" w:name="_GoBack"/>
            <w:bookmarkEnd w:id="39"/>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cstheme="minorHAnsi"/>
                <w:color w:val="333333"/>
                <w:shd w:val="clear" w:color="auto" w:fill="FFFFFF"/>
              </w:rPr>
            </w:pPr>
            <w:r>
              <w:rPr>
                <w:rFonts w:cstheme="minorHAnsi"/>
                <w:color w:val="333333"/>
                <w:shd w:val="clear" w:color="auto" w:fill="FFFFFF"/>
              </w:rPr>
              <w:t>Currently married or sexually active women 15-49 years who have their need for family planning met with modern methods divided by Currently married or sexually active women 15-49 years multiplied by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6" w:name="_Toc36655613"/>
            <w:bookmarkStart w:id="27" w:name="_Toc36812689"/>
            <w:bookmarkStart w:id="28" w:name="_Toc37932748"/>
            <w:bookmarkStart w:id="29" w:name="_Toc36813076"/>
            <w:bookmarkStart w:id="30" w:name="_Toc36812576"/>
            <w:r>
              <w:rPr>
                <w:sz w:val="32"/>
                <w:szCs w:val="32"/>
              </w:rPr>
              <w:t>5. Data availability and disaggregation</w:t>
            </w:r>
            <w:bookmarkEnd w:id="26"/>
            <w:bookmarkEnd w:id="27"/>
            <w:bookmarkEnd w:id="28"/>
            <w:bookmarkEnd w:id="29"/>
            <w:bookmarkEnd w:id="30"/>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The</w:t>
            </w:r>
            <w:r>
              <w:rPr>
                <w:rFonts w:hint="default"/>
                <w:lang w:val="en-CA"/>
              </w:rPr>
              <w:t>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pStyle w:val="56"/>
              <w:shd w:val="clear" w:color="auto" w:fill="FFFFFF"/>
              <w:spacing w:before="0" w:beforeAutospacing="0" w:after="0" w:afterAutospacing="0"/>
              <w:textAlignment w:val="baseline"/>
            </w:pPr>
            <w:r>
              <w:fldChar w:fldCharType="begin"/>
            </w:r>
            <w:r>
              <w:instrText xml:space="preserve"> HYPERLINK "http://measuredhs.com/Topics/Unmet-Need.cfm" </w:instrText>
            </w:r>
            <w:r>
              <w:fldChar w:fldCharType="separate"/>
            </w:r>
            <w:r>
              <w:rPr>
                <w:rStyle w:val="18"/>
                <w:rFonts w:ascii="Calibri" w:hAnsi="Calibri" w:cs="Calibri" w:eastAsiaTheme="majorEastAsia"/>
                <w:sz w:val="21"/>
                <w:szCs w:val="21"/>
                <w:lang w:val="en-GB"/>
              </w:rPr>
              <w:t>http://measuredhs.com/Topics/Unmet-Need.cfm</w:t>
            </w:r>
            <w:r>
              <w:rPr>
                <w:rStyle w:val="18"/>
                <w:rFonts w:ascii="Calibri" w:hAnsi="Calibri" w:cs="Calibri" w:eastAsiaTheme="majorEastAsia"/>
                <w:sz w:val="21"/>
                <w:szCs w:val="21"/>
                <w:lang w:val="en-GB"/>
              </w:rPr>
              <w:fldChar w:fldCharType="end"/>
            </w:r>
            <w:r>
              <w:rPr>
                <w:rStyle w:val="54"/>
                <w:rFonts w:ascii="Calibri" w:hAnsi="Calibri" w:cs="Calibri"/>
                <w:color w:val="4A4A4A"/>
                <w:sz w:val="21"/>
                <w:szCs w:val="21"/>
                <w:lang w:val="en-GB"/>
              </w:rPr>
              <w:t xml:space="preserve"> </w:t>
            </w:r>
          </w:p>
        </w:tc>
      </w:tr>
      <w:permEnd w:id="46"/>
    </w:tbl>
    <w:p>
      <w:pPr>
        <w:pStyle w:val="2"/>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bookmarkEnd w:id="32"/>
    <w:bookmarkEnd w:id="33"/>
    <w:p>
      <w:pPr>
        <w:pStyle w:val="32"/>
        <w:rPr>
          <w:sz w:val="28"/>
          <w:szCs w:val="28"/>
        </w:rPr>
      </w:pPr>
      <w:bookmarkStart w:id="35" w:name="_Toc37932752"/>
      <w:r>
        <w:rPr>
          <w:sz w:val="28"/>
          <w:szCs w:val="28"/>
        </w:rPr>
        <w:t>A. Definitions of Metadata Concepts</w:t>
      </w:r>
      <w:bookmarkEnd w:id="35"/>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6" w:name="_Toc37932753"/>
      <w:bookmarkStart w:id="37" w:name="Mapping"/>
      <w:r>
        <w:rPr>
          <w:sz w:val="28"/>
          <w:szCs w:val="28"/>
        </w:rPr>
        <w:t>B. Mapping of SDMX Detailed Concepts to IAEG-SDG File Format</w:t>
      </w:r>
      <w:bookmarkEnd w:id="36"/>
    </w:p>
    <w:bookmarkEnd w:id="37"/>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8" w:name="_Toc37932754"/>
      <w:r>
        <w:rPr>
          <w:sz w:val="28"/>
          <w:szCs w:val="28"/>
        </w:rPr>
        <w:t>C. Mapping of IAEG-SDG File Format to SDMX Detailed Concepts</w:t>
      </w:r>
      <w:bookmarkEnd w:id="38"/>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4"/>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9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1F420E"/>
    <w:rsid w:val="001F48E4"/>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D71A8"/>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20E22"/>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1536E"/>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973DE"/>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287E"/>
    <w:rsid w:val="00D44269"/>
    <w:rsid w:val="00D51841"/>
    <w:rsid w:val="00D6461B"/>
    <w:rsid w:val="00D815D9"/>
    <w:rsid w:val="00D855E8"/>
    <w:rsid w:val="00DA69E7"/>
    <w:rsid w:val="00DB1DCD"/>
    <w:rsid w:val="00DB237A"/>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D0D020D"/>
    <w:rsid w:val="2E454DB3"/>
    <w:rsid w:val="5B0646E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semiHidden/>
    <w:unhideWhenUsed/>
    <w:uiPriority w:val="99"/>
    <w:pPr>
      <w:spacing w:beforeAutospacing="1" w:afterAutospacing="1"/>
    </w:pPr>
    <w:rPr>
      <w:rFonts w:ascii="Times New Roman" w:hAnsi="Times New Roman" w:eastAsia="SimSun" w:cs="Times New Roman"/>
      <w:sz w:val="24"/>
      <w:szCs w:val="24"/>
      <w:lang w:val="en-US" w:eastAsia="zh-CN" w:bidi="ar-SA"/>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uiPriority w:val="99"/>
    <w:rPr>
      <w:b/>
      <w:bCs/>
      <w:sz w:val="20"/>
      <w:szCs w:val="20"/>
    </w:rPr>
  </w:style>
  <w:style w:type="character" w:styleId="49">
    <w:name w:val="Placeholder Text"/>
    <w:basedOn w:val="4"/>
    <w:semiHidden/>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uiPriority w:val="99"/>
    <w:rPr>
      <w:color w:val="605E5C"/>
      <w:shd w:val="clear" w:color="auto" w:fill="E1DFDD"/>
    </w:rPr>
  </w:style>
  <w:style w:type="character" w:customStyle="1" w:styleId="54">
    <w:name w:val="normaltextrun"/>
    <w:basedOn w:val="4"/>
    <w:qFormat/>
    <w:uiPriority w:val="0"/>
  </w:style>
  <w:style w:type="character" w:customStyle="1" w:styleId="55">
    <w:name w:val="eop"/>
    <w:basedOn w:val="4"/>
    <w:qFormat/>
    <w:uiPriority w:val="0"/>
  </w:style>
  <w:style w:type="paragraph" w:customStyle="1" w:styleId="56">
    <w:name w:val="paragraph"/>
    <w:basedOn w:val="1"/>
    <w:uiPriority w:val="0"/>
    <w:pPr>
      <w:spacing w:before="100" w:beforeAutospacing="1" w:after="100" w:afterAutospacing="1" w:line="240" w:lineRule="auto"/>
    </w:pPr>
    <w:rPr>
      <w:rFonts w:ascii="Times New Roman" w:hAnsi="Times New Roman" w:eastAsia="Times New Roman" w:cs="Times New Roman"/>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00A4E"/>
    <w:rsid w:val="00296525"/>
    <w:rsid w:val="0036646D"/>
    <w:rsid w:val="005E3750"/>
    <w:rsid w:val="006153AA"/>
    <w:rsid w:val="0064052E"/>
    <w:rsid w:val="00760A1F"/>
    <w:rsid w:val="00974018"/>
    <w:rsid w:val="00BA45F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13</Pages>
  <Words>216327</Words>
  <Characters>1233070</Characters>
  <Lines>10275</Lines>
  <Paragraphs>2893</Paragraphs>
  <TotalTime>11</TotalTime>
  <ScaleCrop>false</ScaleCrop>
  <LinksUpToDate>false</LinksUpToDate>
  <CharactersWithSpaces>1446504</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2021-11-02T12:07:00Z</dcterms:created>
  <dc:creator>Fanning, Stephen B (JMD)</dc:creator>
  <cp:lastModifiedBy>Doreen</cp:lastModifiedBy>
  <cp:lastPrinted>2020-04-16T14:23:00Z</cp:lastPrinted>
  <dcterms:modified xsi:type="dcterms:W3CDTF">2022-11-08T21:47:24Z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BDD28B0422FA4779A9F78441043A0A5C</vt:lpwstr>
  </property>
</Properties>
</file>