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16.6.1 Primary government expenditures as a proportion of original approved budget [16.6.1] (GF_XPD_GBPC)</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812684"/>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asciiTheme="minorAscii" w:hAnsiTheme="minorAscii" w:eastAsiaTheme="minorEastAsia" w:cstheme="minorEastAsia"/>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16.6: Develop effective, accountable and transparent institutions at all levels</w:t>
            </w:r>
            <w:bookmarkStart w:id="38" w:name="_GoBack"/>
            <w:bookmarkEnd w:id="38"/>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16.6.1: Primary government expenditures as a proportion of original approved budget, by sector (or by budget codes or similar)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sz w:val="22"/>
                <w:szCs w:val="22"/>
              </w:rPr>
            </w:pPr>
            <w:r>
              <w:rPr>
                <w:rFonts w:asciiTheme="minorHAnsi" w:hAnsi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685"/>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7932745"/>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imes New Roman"/>
                <w:color w:val="4A4A4A"/>
                <w:sz w:val="22"/>
                <w:szCs w:val="22"/>
              </w:rPr>
            </w:pPr>
            <w:r>
              <w:rPr>
                <w:rStyle w:val="20"/>
                <w:rFonts w:cs="Times New Roman"/>
                <w:color w:val="4A4A4A"/>
                <w:sz w:val="22"/>
                <w:szCs w:val="22"/>
              </w:rPr>
              <w:t>Definition:</w:t>
            </w:r>
          </w:p>
          <w:p>
            <w:pPr>
              <w:shd w:val="clear" w:color="auto" w:fill="FFFFFF"/>
              <w:spacing w:after="0"/>
              <w:jc w:val="both"/>
              <w:rPr>
                <w:rFonts w:cs="Times New Roman"/>
                <w:color w:val="4A4A4A"/>
                <w:sz w:val="22"/>
                <w:szCs w:val="22"/>
              </w:rPr>
            </w:pPr>
          </w:p>
          <w:p>
            <w:pPr>
              <w:pStyle w:val="57"/>
              <w:shd w:val="clear" w:color="auto" w:fill="FFFFFF"/>
              <w:spacing w:before="0" w:beforeAutospacing="0" w:after="0" w:afterAutospacing="0"/>
              <w:jc w:val="both"/>
              <w:rPr>
                <w:rFonts w:asciiTheme="minorHAnsi" w:hAnsiTheme="minorHAnsi"/>
                <w:color w:val="4A4A4A"/>
                <w:sz w:val="22"/>
                <w:szCs w:val="22"/>
              </w:rPr>
            </w:pPr>
            <w:r>
              <w:rPr>
                <w:rFonts w:asciiTheme="minorHAnsi" w:hAnsiTheme="minorHAnsi"/>
                <w:color w:val="4A4A4A"/>
                <w:sz w:val="22"/>
                <w:szCs w:val="22"/>
              </w:rPr>
              <w:t xml:space="preserve">This indicator measures the extent to which aggregate budget expenditure </w:t>
            </w:r>
            <w:r>
              <w:rPr>
                <w:rFonts w:asciiTheme="minorHAnsi" w:hAnsiTheme="minorHAnsi"/>
                <w:color w:val="4A4A4A"/>
                <w:sz w:val="22"/>
                <w:szCs w:val="22"/>
                <w:lang w:val="en-CA"/>
              </w:rPr>
              <w:t>out-turn</w:t>
            </w:r>
            <w:r>
              <w:rPr>
                <w:rFonts w:asciiTheme="minorHAnsi" w:hAnsiTheme="minorHAnsi"/>
                <w:color w:val="4A4A4A"/>
                <w:sz w:val="22"/>
                <w:szCs w:val="22"/>
              </w:rPr>
              <w:t xml:space="preserve"> reflects the amount originally approved, as defined in government budget documentation and fiscal reports. </w:t>
            </w:r>
          </w:p>
          <w:p>
            <w:pPr>
              <w:pStyle w:val="57"/>
              <w:shd w:val="clear" w:color="auto" w:fill="FFFFFF"/>
              <w:spacing w:before="0" w:beforeAutospacing="0" w:after="0" w:afterAutospacing="0"/>
              <w:jc w:val="both"/>
              <w:rPr>
                <w:rFonts w:asciiTheme="minorHAnsi" w:hAnsiTheme="minorHAnsi"/>
                <w:color w:val="4A4A4A"/>
                <w:sz w:val="22"/>
                <w:szCs w:val="22"/>
              </w:rPr>
            </w:pPr>
          </w:p>
          <w:p>
            <w:pPr>
              <w:shd w:val="clear" w:color="auto" w:fill="FFFFFF"/>
              <w:spacing w:after="0"/>
              <w:jc w:val="both"/>
              <w:rPr>
                <w:rFonts w:cs="Times New Roman"/>
                <w:color w:val="4A4A4A"/>
                <w:sz w:val="22"/>
                <w:szCs w:val="22"/>
              </w:rPr>
            </w:pPr>
            <w:r>
              <w:rPr>
                <w:rStyle w:val="20"/>
                <w:rFonts w:cs="Times New Roman"/>
                <w:color w:val="4A4A4A"/>
                <w:sz w:val="22"/>
                <w:szCs w:val="22"/>
              </w:rPr>
              <w:t>Concepts:</w:t>
            </w:r>
          </w:p>
          <w:p>
            <w:pPr>
              <w:shd w:val="clear" w:color="auto" w:fill="FFFFFF"/>
              <w:spacing w:after="0"/>
              <w:jc w:val="both"/>
              <w:rPr>
                <w:rFonts w:cs="Times New Roman"/>
                <w:color w:val="4A4A4A"/>
                <w:sz w:val="22"/>
                <w:szCs w:val="22"/>
              </w:rPr>
            </w:pPr>
          </w:p>
          <w:p>
            <w:pPr>
              <w:pStyle w:val="57"/>
              <w:shd w:val="clear" w:color="auto" w:fill="FFFFFF"/>
              <w:spacing w:before="0" w:beforeAutospacing="0" w:after="0" w:afterAutospacing="0"/>
              <w:jc w:val="both"/>
              <w:rPr>
                <w:rFonts w:asciiTheme="minorHAnsi" w:hAnsiTheme="minorHAnsi"/>
                <w:color w:val="4A4A4A"/>
                <w:sz w:val="22"/>
                <w:szCs w:val="22"/>
              </w:rPr>
            </w:pPr>
            <w:r>
              <w:rPr>
                <w:rFonts w:asciiTheme="minorHAnsi" w:hAnsiTheme="minorHAnsi"/>
                <w:color w:val="4A4A4A"/>
                <w:sz w:val="22"/>
                <w:szCs w:val="22"/>
              </w:rPr>
              <w:t xml:space="preserve">Aggregate expenditure includes actual expenditures incorporating those incurred as a result of unplanned or exceptional events—for example, armed conflicts or natural disasters. </w:t>
            </w:r>
          </w:p>
          <w:p>
            <w:pPr>
              <w:pStyle w:val="57"/>
              <w:shd w:val="clear" w:color="auto" w:fill="FFFFFF"/>
              <w:spacing w:before="0" w:beforeAutospacing="0" w:after="0" w:afterAutospacing="0"/>
              <w:jc w:val="both"/>
            </w:pPr>
            <w:r>
              <w:rPr>
                <w:rFonts w:asciiTheme="minorHAnsi" w:hAnsiTheme="minorHAnsi"/>
                <w:color w:val="4A4A4A"/>
                <w:sz w:val="22"/>
                <w:szCs w:val="22"/>
              </w:rPr>
              <w:t xml:space="preserve">Actual expenditure </w:t>
            </w:r>
            <w:r>
              <w:rPr>
                <w:rFonts w:asciiTheme="minorHAnsi" w:hAnsiTheme="minorHAnsi"/>
                <w:color w:val="4A4A4A"/>
                <w:sz w:val="22"/>
                <w:szCs w:val="22"/>
                <w:lang w:val="en-CA"/>
              </w:rPr>
              <w:t>out-turns</w:t>
            </w:r>
            <w:r>
              <w:rPr>
                <w:rFonts w:asciiTheme="minorHAnsi" w:hAnsiTheme="minorHAnsi"/>
                <w:color w:val="4A4A4A"/>
                <w:sz w:val="22"/>
                <w:szCs w:val="22"/>
              </w:rPr>
              <w:t xml:space="preserve"> can deviate from the originally approved budget for reasons unrelated to the accuracy of forecasts—for example, as a result of a major macroeconomic shock.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Cs/>
              </w:rPr>
              <w:t>Ministry of Finance</w:t>
            </w:r>
            <w:r>
              <w:rPr>
                <w:rFonts w:hint="default" w:cstheme="minorHAnsi"/>
                <w:bCs/>
                <w:lang w:val="en-CA"/>
              </w:rPr>
              <w:t xml:space="preserve"> (MoF)</w:t>
            </w:r>
            <w:r>
              <w:rPr>
                <w:rFonts w:cstheme="minorHAnsi"/>
                <w:bCs/>
              </w:rPr>
              <w:t xml:space="preserve"> Budget </w:t>
            </w:r>
            <w:r>
              <w:rPr>
                <w:rFonts w:hint="default" w:cstheme="minorHAnsi"/>
                <w:bCs/>
                <w:lang w:val="en-CA"/>
              </w:rPr>
              <w:t>S</w:t>
            </w:r>
            <w:r>
              <w:rPr>
                <w:rFonts w:cstheme="minorHAnsi"/>
                <w:bCs/>
              </w:rPr>
              <w:t xml:space="preserve">tatement and </w:t>
            </w:r>
            <w:r>
              <w:rPr>
                <w:rFonts w:hint="default" w:cstheme="minorHAnsi"/>
                <w:bCs/>
                <w:lang w:val="en-CA"/>
              </w:rPr>
              <w:t>E</w:t>
            </w:r>
            <w:r>
              <w:rPr>
                <w:rFonts w:cstheme="minorHAnsi"/>
                <w:bCs/>
              </w:rPr>
              <w:t xml:space="preserve">conomic </w:t>
            </w:r>
            <w:r>
              <w:rPr>
                <w:rFonts w:hint="default" w:cstheme="minorHAnsi"/>
                <w:bCs/>
                <w:lang w:val="en-CA"/>
              </w:rPr>
              <w:t>P</w:t>
            </w:r>
            <w:r>
              <w:rPr>
                <w:rFonts w:cstheme="minorHAnsi"/>
                <w:bCs/>
              </w:rPr>
              <w:t>olicy</w:t>
            </w:r>
            <w:r>
              <w:rPr>
                <w:rFonts w:hint="default" w:cstheme="minorHAnsi"/>
                <w:bCs/>
                <w:lang w:val="en-CA"/>
              </w:rPr>
              <w:t>,</w:t>
            </w:r>
            <w:r>
              <w:rPr>
                <w:rFonts w:cstheme="minorHAnsi"/>
                <w:bCs/>
              </w:rPr>
              <w:t xml:space="preserve">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Finance (MoF)</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812575"/>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6"/>
              <w:jc w:val="both"/>
            </w:pPr>
            <w:r>
              <w:rPr>
                <w:color w:val="auto"/>
                <w:sz w:val="22"/>
                <w:szCs w:val="22"/>
              </w:rPr>
              <w:t>The indicator attempts to capture the reliability of government budgets</w:t>
            </w:r>
            <w:r>
              <w:rPr>
                <w:rFonts w:hint="default"/>
                <w:color w:val="auto"/>
                <w:sz w:val="22"/>
                <w:szCs w:val="22"/>
                <w:lang w:val="en-CA"/>
              </w:rPr>
              <w:t>;</w:t>
            </w:r>
            <w:r>
              <w:rPr>
                <w:color w:val="auto"/>
                <w:sz w:val="22"/>
                <w:szCs w:val="22"/>
              </w:rPr>
              <w:t xml:space="preserve"> do governments spend what they intend to and do they collect what they set out to collect. It is a simple and intuitive indicator that is easily understood and the methodology is transparent and every rating easily verifiable.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812689"/>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"http://www.pefa.org/en/content/pefa-2016-framework." </w:instrText>
            </w:r>
            <w:r>
              <w:fldChar w:fldCharType="separate"/>
            </w:r>
            <w:r>
              <w:rPr>
                <w:rStyle w:val="19"/>
              </w:rPr>
              <w:t>http://www.pefa.org/en/content/pefa-2016-framework.</w:t>
            </w:r>
            <w:r>
              <w:fldChar w:fldCharType="end"/>
            </w:r>
          </w:p>
          <w:p>
            <w:r>
              <w:fldChar w:fldCharType="begin"/>
            </w:r>
            <w:r>
              <w:instrText xml:space="preserve"> HYPERLINK "https://www.pefa.org/sites/pefa.org/files/attachments/PEFA%20Framework_English.pdf" </w:instrText>
            </w:r>
            <w:r>
              <w:fldChar w:fldCharType="separate"/>
            </w:r>
            <w:r>
              <w:rPr>
                <w:rStyle w:val="19"/>
              </w:rPr>
              <w:t>https://www.pefa.org/sites/pefa.org/files/attachments/PEFA%20Framework_English.pdf</w:t>
            </w:r>
            <w: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0D40"/>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592F"/>
    <w:rsid w:val="00316CFE"/>
    <w:rsid w:val="003218D9"/>
    <w:rsid w:val="00325D2B"/>
    <w:rsid w:val="00344199"/>
    <w:rsid w:val="003514F3"/>
    <w:rsid w:val="00352386"/>
    <w:rsid w:val="0035311B"/>
    <w:rsid w:val="00355460"/>
    <w:rsid w:val="00372D21"/>
    <w:rsid w:val="0037573F"/>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7375E1A"/>
    <w:rsid w:val="33AB59E8"/>
    <w:rsid w:val="33F952CA"/>
    <w:rsid w:val="43E029A9"/>
    <w:rsid w:val="65D31CE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7">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216029</Words>
  <Characters>1231369</Characters>
  <Lines>10261</Lines>
  <Paragraphs>2889</Paragraphs>
  <TotalTime>8</TotalTime>
  <ScaleCrop>false</ScaleCrop>
  <LinksUpToDate>false</LinksUpToDate>
  <CharactersWithSpaces>1444509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2021-10-18T15:47:00Z</dcterms:created>
  <dc:creator>Fanning, Stephen B (JMD)</dc:creator>
  <cp:lastModifiedBy>Doreen</cp:lastModifiedBy>
  <cp:lastPrinted>2020-04-16T14:23:00Z</cp:lastPrinted>
  <dcterms:modified xsi:type="dcterms:W3CDTF">2022-11-14T10:13:27Z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CA9B63B68E4A44E5B24BFE586E1CF5C6</vt:lpwstr>
  </property>
</Properties>
</file>