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4.3.1 Participation rate in formal and non-formal education and training [4.3.1] (SE_ADT_EDUCTRN)</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655608"/>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rPr>
                <w:szCs w:val="22"/>
              </w:rPr>
            </w:pPr>
            <w:r>
              <w:rPr>
                <w:rFonts w:hint="default" w:ascii="Calibri" w:hAnsi="Calibri" w:eastAsia="SimSun" w:cs="Calibri"/>
                <w:sz w:val="22"/>
                <w:szCs w:val="22"/>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jc w:val="both"/>
            </w:pPr>
            <w:r>
              <w:t>Target 4.3: By 2030, ensure equal access for all women and men to affordable and quality technical, vocational and tertiary education, including university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4.3.1: Participation rate of youth and adults in formal and non-formal education and training in the previous 12 months,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for National Functional Literacy Programme</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Private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Public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TVET Programmes in Private Senior High Technical Schools as a share of total enrolment</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TVET Programmes in Senior High Technical Schools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Classes for National Functional Literacy Programme</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Private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Public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Senior High Technical Schools with TVET Programmes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Technical and Vocational Institutions</w:t>
            </w:r>
          </w:p>
          <w:p>
            <w:pPr>
              <w:jc w:val="both"/>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rPr>
              <w:t>Percentage of Female share in Enrolment for National Functional Literacy Programme</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t>UNESCO Institute for Statistics (UNESCO-UIS)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2685"/>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6655610"/>
            <w:bookmarkStart w:id="16" w:name="_Toc368125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cs="Times New Roman"/>
                <w:color w:val="4A4A4A"/>
                <w:sz w:val="22"/>
                <w:szCs w:val="22"/>
              </w:rPr>
            </w:pPr>
            <w:r>
              <w:rPr>
                <w:rStyle w:val="19"/>
                <w:rFonts w:cs="Times New Roman"/>
                <w:color w:val="4A4A4A"/>
                <w:sz w:val="22"/>
                <w:szCs w:val="22"/>
              </w:rPr>
              <w:t>Definition:</w:t>
            </w:r>
          </w:p>
          <w:p>
            <w:pPr>
              <w:pStyle w:val="35"/>
              <w:jc w:val="both"/>
              <w:rPr>
                <w:sz w:val="22"/>
                <w:szCs w:val="22"/>
              </w:rPr>
            </w:pPr>
            <w:r>
              <w:rPr>
                <w:sz w:val="22"/>
                <w:szCs w:val="22"/>
              </w:rPr>
              <w:t>The percentage of youth and adults in a given age range (e.g. 15-24 years, 25-64 years, etc.) participating in formal or non-formal education or training in a given time period (e.g. last 12 months).</w:t>
            </w:r>
          </w:p>
          <w:p>
            <w:pPr>
              <w:pStyle w:val="35"/>
              <w:jc w:val="both"/>
              <w:rPr>
                <w:sz w:val="22"/>
                <w:szCs w:val="22"/>
              </w:rPr>
            </w:pPr>
          </w:p>
          <w:p>
            <w:pPr>
              <w:shd w:val="clear" w:color="auto" w:fill="FFFFFF"/>
              <w:spacing w:after="0"/>
              <w:jc w:val="both"/>
              <w:rPr>
                <w:rFonts w:cs="Times New Roman"/>
                <w:color w:val="4A4A4A"/>
                <w:sz w:val="22"/>
                <w:szCs w:val="22"/>
              </w:rPr>
            </w:pPr>
            <w:r>
              <w:rPr>
                <w:rStyle w:val="19"/>
                <w:rFonts w:cs="Times New Roman"/>
                <w:color w:val="4A4A4A"/>
                <w:sz w:val="22"/>
                <w:szCs w:val="22"/>
              </w:rPr>
              <w:t>Concepts:</w:t>
            </w:r>
          </w:p>
          <w:p>
            <w:pPr>
              <w:pStyle w:val="35"/>
              <w:jc w:val="both"/>
              <w:rPr>
                <w:rFonts w:asciiTheme="minorHAnsi" w:hAnsiTheme="minorHAnsi"/>
                <w:color w:val="4A4A4A"/>
                <w:sz w:val="22"/>
                <w:szCs w:val="22"/>
              </w:rPr>
            </w:pPr>
            <w:r>
              <w:rPr>
                <w:rFonts w:asciiTheme="minorHAnsi" w:hAnsiTheme="minorHAnsi"/>
                <w:color w:val="4A4A4A"/>
                <w:sz w:val="22"/>
                <w:szCs w:val="22"/>
              </w:rPr>
              <w:t>Formal education and training is defined as education provided by the system of schools, colleges, universities and other formal educational institutions that normally constitutes a continuous ‘ladder’ of full-time education for children and young people, generally beginning at the age of 5 to 7 and continuing</w:t>
            </w:r>
            <w:r>
              <w:rPr>
                <w:rFonts w:hint="default" w:asciiTheme="minorHAnsi" w:hAnsiTheme="minorHAnsi"/>
                <w:color w:val="4A4A4A"/>
                <w:sz w:val="22"/>
                <w:szCs w:val="22"/>
                <w:lang w:val="en-CA"/>
              </w:rPr>
              <w:t xml:space="preserve"> </w:t>
            </w:r>
            <w:r>
              <w:rPr>
                <w:rFonts w:asciiTheme="minorHAnsi" w:hAnsiTheme="minorHAnsi"/>
                <w:color w:val="4A4A4A"/>
                <w:sz w:val="22"/>
                <w:szCs w:val="22"/>
              </w:rPr>
              <w:t>up to 20 or 25 years old.</w:t>
            </w:r>
          </w:p>
          <w:p>
            <w:pPr>
              <w:pStyle w:val="35"/>
              <w:jc w:val="both"/>
              <w:rPr>
                <w:sz w:val="22"/>
                <w:szCs w:val="22"/>
              </w:rPr>
            </w:pPr>
            <w:r>
              <w:rPr>
                <w:sz w:val="22"/>
                <w:szCs w:val="22"/>
              </w:rPr>
              <w:t xml:space="preserve">Non-formal education and training is defined as any organized and sustained learning activities that do not correspond exactly to the above definition of formal education. Non-formal education may therefore take place both within and outside educational institutions and cater to people of all ages.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Number</w:t>
            </w:r>
          </w:p>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bCs/>
                <w:iCs/>
                <w:lang w:val="en-CA"/>
              </w:rPr>
            </w:pPr>
            <w:r>
              <w:rPr>
                <w:rFonts w:cstheme="minorHAnsi"/>
                <w:bCs/>
                <w:iCs/>
              </w:rPr>
              <w:t>Education</w:t>
            </w:r>
            <w:r>
              <w:rPr>
                <w:rFonts w:hint="default" w:cstheme="minorHAnsi"/>
                <w:bCs/>
                <w:iCs/>
                <w:lang w:val="en-CA"/>
              </w:rPr>
              <w:t xml:space="preserve"> Sector</w:t>
            </w:r>
            <w:r>
              <w:rPr>
                <w:rFonts w:cstheme="minorHAnsi"/>
                <w:bCs/>
                <w:iCs/>
              </w:rPr>
              <w:t xml:space="preserve"> Assessment Performance Report</w:t>
            </w:r>
            <w:r>
              <w:rPr>
                <w:rFonts w:hint="default" w:cstheme="minorHAnsi"/>
                <w:bCs/>
                <w:iCs/>
                <w:lang w:val="en-CA"/>
              </w:rPr>
              <w:t>, 2018</w:t>
            </w:r>
          </w:p>
          <w:p>
            <w:pPr>
              <w:rPr>
                <w:rFonts w:hint="default" w:cstheme="minorHAnsi"/>
                <w:bCs/>
                <w:iCs/>
                <w:lang w:val="en-CA"/>
              </w:rPr>
            </w:pPr>
            <w:r>
              <w:rPr>
                <w:rFonts w:hint="default" w:cstheme="minorHAnsi"/>
                <w:bCs/>
                <w:iCs/>
                <w:lang w:val="en-CA"/>
              </w:rPr>
              <w:t>Ghana’s Sustainable Development Goals (SDGs) Report,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6812575"/>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rPr>
                <w:rFonts w:hint="default" w:eastAsia="SimSun" w:cs="Times New Roman" w:asciiTheme="minorAscii" w:hAnsiTheme="minorAscii"/>
                <w:i w:val="0"/>
                <w:iCs w:val="0"/>
                <w:caps w:val="0"/>
                <w:color w:val="000000"/>
                <w:spacing w:val="0"/>
                <w:sz w:val="22"/>
                <w:szCs w:val="22"/>
              </w:rPr>
              <w:t xml:space="preserve"> A high value indicates a large share of the population in the relevant age group is participating in formal and non-formal education and training.</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576"/>
            <w:bookmarkStart w:id="27" w:name="_Toc36812689"/>
            <w:bookmarkStart w:id="28" w:name="_Toc36655613"/>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been disaggregated by sex, educational level and sector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color w:val="auto"/>
                <w:sz w:val="22"/>
                <w:szCs w:val="22"/>
                <w:u w:val="none"/>
              </w:rPr>
              <w:fldChar w:fldCharType="begin"/>
            </w:r>
            <w:r>
              <w:rPr>
                <w:rFonts w:hint="default" w:eastAsia="SimSun" w:cs="SimSun" w:asciiTheme="minorAscii" w:hAnsiTheme="minorAscii"/>
                <w:color w:val="auto"/>
                <w:sz w:val="22"/>
                <w:szCs w:val="22"/>
                <w:u w:val="none"/>
              </w:rPr>
              <w:instrText xml:space="preserve"> HYPERLINK "https://unstats.un.org/sdgs/metadata/files/Metadata-04-03-01.pdf" </w:instrText>
            </w:r>
            <w:r>
              <w:rPr>
                <w:rFonts w:hint="default" w:eastAsia="SimSun" w:cs="SimSun" w:asciiTheme="minorAscii" w:hAnsiTheme="minorAscii"/>
                <w:color w:val="auto"/>
                <w:sz w:val="22"/>
                <w:szCs w:val="22"/>
                <w:u w:val="none"/>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color w:val="auto"/>
                <w:sz w:val="22"/>
                <w:szCs w:val="22"/>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5B"/>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6D92"/>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2F6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3686"/>
    <w:rsid w:val="00FD54D7"/>
    <w:rsid w:val="00FF642D"/>
    <w:rsid w:val="318E0D50"/>
    <w:rsid w:val="425856FB"/>
    <w:rsid w:val="460C142D"/>
    <w:rsid w:val="58D042C8"/>
    <w:rsid w:val="5F6E343D"/>
    <w:rsid w:val="66FA6CD4"/>
    <w:rsid w:val="73034CC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character" w:styleId="19">
    <w:name w:val="Strong"/>
    <w:basedOn w:val="4"/>
    <w:qFormat/>
    <w:uiPriority w:val="22"/>
    <w:rPr>
      <w:b/>
      <w:bCs/>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 w:type="paragraph" w:customStyle="1" w:styleId="55">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DA4D10"/>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215629</Words>
  <Characters>1229090</Characters>
  <Lines>10242</Lines>
  <Paragraphs>2883</Paragraphs>
  <TotalTime>0</TotalTime>
  <ScaleCrop>false</ScaleCrop>
  <LinksUpToDate>false</LinksUpToDate>
  <CharactersWithSpaces>1441836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2021-10-18T12:45:00Z</dcterms:created>
  <dc:creator>Fanning, Stephen B (JMD)</dc:creator>
  <cp:lastModifiedBy>Doreen</cp:lastModifiedBy>
  <cp:lastPrinted>2020-04-16T14:23:00Z</cp:lastPrinted>
  <dcterms:modified xsi:type="dcterms:W3CDTF">2022-11-15T18:43:39Z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F1F3E83ED3FE49FE88DEA9F294305FCF</vt:lpwstr>
  </property>
</Properties>
</file>