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17.1.1 Total government revenue as a proportion of GDP [17.1.1] (GR_G14_GDP)</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7932743"/>
            <w:bookmarkStart w:id="4" w:name="_Toc36813071"/>
            <w:bookmarkStart w:id="5" w:name="_Toc36812684"/>
            <w:bookmarkStart w:id="6" w:name="_Toc36655608"/>
            <w:bookmarkStart w:id="7" w:name="_Toc368125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30"/>
            </w:pPr>
            <w:r>
              <w:rPr>
                <w:sz w:val="22"/>
                <w:szCs w:val="22"/>
              </w:rPr>
              <w:t>Goal 17: Strengthen the means of implementation and revitalize the Global Partnership for Sustainable Development</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30"/>
            </w:pPr>
            <w:r>
              <w:rPr>
                <w:sz w:val="22"/>
                <w:szCs w:val="22"/>
              </w:rPr>
              <w:t>Target 17.1: Strengthen domestic resource mobilization, including through international support to developing countries, to improve domestic capacity for tax and other revenue collection</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30"/>
            </w:pPr>
            <w:r>
              <w:rPr>
                <w:sz w:val="22"/>
                <w:szCs w:val="22"/>
              </w:rPr>
              <w:t>Indicator 17.1.1: Total government revenue as a proportion of GDP, by source</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pStyle w:val="30"/>
            </w:pPr>
            <w:bookmarkStart w:id="38" w:name="_GoBack"/>
            <w:bookmarkEnd w:id="38"/>
            <w:r>
              <w:rPr>
                <w:sz w:val="22"/>
                <w:szCs w:val="22"/>
              </w:rPr>
              <w:t>17.1.2</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0"/>
            </w:pPr>
            <w:r>
              <w:rPr>
                <w:sz w:val="22"/>
                <w:szCs w:val="22"/>
              </w:rPr>
              <w:t>IMF Statistics Department (Government Finance Division)</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572"/>
            <w:bookmarkStart w:id="9" w:name="_Toc36812685"/>
            <w:bookmarkStart w:id="10" w:name="_Toc36655609"/>
            <w:bookmarkStart w:id="11" w:name="_Toc37932744"/>
            <w:bookmarkStart w:id="12" w:name="_Toc368130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7932745"/>
            <w:bookmarkStart w:id="14" w:name="_Toc36655610"/>
            <w:bookmarkStart w:id="15" w:name="_Toc36812686"/>
            <w:bookmarkStart w:id="16" w:name="_Toc36813073"/>
            <w:bookmarkStart w:id="17" w:name="_Toc368125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19"/>
              <w:keepNext w:val="0"/>
              <w:keepLines w:val="0"/>
              <w:widowControl/>
              <w:suppressLineNumbers w:val="0"/>
              <w:ind w:left="0" w:firstLine="0"/>
              <w:rPr>
                <w:rFonts w:hint="default" w:ascii="Calibri" w:hAnsi="Calibri" w:cs="Calibri"/>
                <w:b/>
                <w:bCs/>
                <w:i w:val="0"/>
                <w:iCs w:val="0"/>
                <w:caps w:val="0"/>
                <w:color w:val="000000"/>
                <w:spacing w:val="0"/>
                <w:sz w:val="22"/>
                <w:szCs w:val="22"/>
              </w:rPr>
            </w:pPr>
            <w:r>
              <w:rPr>
                <w:rFonts w:hint="default" w:ascii="Calibri" w:hAnsi="Calibri" w:cs="Calibri"/>
                <w:b/>
                <w:bCs/>
                <w:i w:val="0"/>
                <w:iCs w:val="0"/>
                <w:caps w:val="0"/>
                <w:color w:val="000000"/>
                <w:spacing w:val="0"/>
                <w:sz w:val="22"/>
                <w:szCs w:val="22"/>
              </w:rPr>
              <w:t>Definition:</w:t>
            </w:r>
          </w:p>
          <w:p>
            <w:pPr>
              <w:pStyle w:val="19"/>
              <w:keepNext w:val="0"/>
              <w:keepLines w:val="0"/>
              <w:widowControl/>
              <w:suppressLineNumbers w:val="0"/>
              <w:ind w:left="0" w:firstLine="0"/>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rPr>
              <w:t>Revenue is defined</w:t>
            </w:r>
            <w:r>
              <w:rPr>
                <w:rFonts w:hint="default" w:ascii="Calibri" w:hAnsi="Calibri" w:cs="Calibri"/>
                <w:i w:val="0"/>
                <w:iCs w:val="0"/>
                <w:caps w:val="0"/>
                <w:color w:val="000000"/>
                <w:spacing w:val="0"/>
                <w:sz w:val="22"/>
                <w:szCs w:val="22"/>
                <w:lang w:val="en-CA"/>
              </w:rPr>
              <w:t xml:space="preserve"> as</w:t>
            </w:r>
            <w:r>
              <w:rPr>
                <w:rFonts w:hint="default" w:ascii="Calibri" w:hAnsi="Calibri" w:cs="Calibri"/>
                <w:i w:val="0"/>
                <w:iCs w:val="0"/>
                <w:caps w:val="0"/>
                <w:color w:val="000000"/>
                <w:spacing w:val="0"/>
                <w:sz w:val="22"/>
                <w:szCs w:val="22"/>
              </w:rPr>
              <w:t xml:space="preserve"> an increase in net worth resulting from a transaction. It is a fiscal indicator for assessing the sustainability of fiscal activities. General government units have four types of revenue. The major types of revenue are taxes (</w:t>
            </w:r>
            <w:r>
              <w:rPr>
                <w:rFonts w:hint="default" w:ascii="Calibri" w:hAnsi="Calibri" w:cs="Calibri"/>
                <w:i w:val="0"/>
                <w:iCs w:val="0"/>
                <w:caps w:val="0"/>
                <w:color w:val="000000"/>
                <w:spacing w:val="0"/>
                <w:sz w:val="22"/>
                <w:szCs w:val="22"/>
              </w:rPr>
              <w:fldChar w:fldCharType="begin"/>
            </w:r>
            <w:r>
              <w:rPr>
                <w:rFonts w:hint="default" w:ascii="Calibri" w:hAnsi="Calibri" w:cs="Calibri"/>
                <w:i w:val="0"/>
                <w:iCs w:val="0"/>
                <w:caps w:val="0"/>
                <w:color w:val="000000"/>
                <w:spacing w:val="0"/>
                <w:sz w:val="22"/>
                <w:szCs w:val="22"/>
              </w:rPr>
              <w:instrText xml:space="preserve"> HYPERLINK "https://unstats.un.org/unsd/classifications/Family/Detail/1034" </w:instrText>
            </w:r>
            <w:r>
              <w:rPr>
                <w:rFonts w:hint="default" w:ascii="Calibri" w:hAnsi="Calibri" w:cs="Calibri"/>
                <w:i w:val="0"/>
                <w:iCs w:val="0"/>
                <w:caps w:val="0"/>
                <w:color w:val="000000"/>
                <w:spacing w:val="0"/>
                <w:sz w:val="22"/>
                <w:szCs w:val="22"/>
              </w:rPr>
              <w:fldChar w:fldCharType="separate"/>
            </w:r>
            <w:r>
              <w:rPr>
                <w:rStyle w:val="18"/>
                <w:rFonts w:hint="default" w:ascii="Calibri" w:hAnsi="Calibri" w:cs="Calibri"/>
                <w:i w:val="0"/>
                <w:iCs w:val="0"/>
                <w:caps w:val="0"/>
                <w:color w:val="000000"/>
                <w:spacing w:val="0"/>
                <w:sz w:val="22"/>
                <w:szCs w:val="22"/>
              </w:rPr>
              <w:t>GFS code 11</w:t>
            </w:r>
            <w:r>
              <w:rPr>
                <w:rFonts w:hint="default" w:ascii="Calibri" w:hAnsi="Calibri" w:cs="Calibri"/>
                <w:i w:val="0"/>
                <w:iCs w:val="0"/>
                <w:caps w:val="0"/>
                <w:color w:val="000000"/>
                <w:spacing w:val="0"/>
                <w:sz w:val="22"/>
                <w:szCs w:val="22"/>
              </w:rPr>
              <w:fldChar w:fldCharType="end"/>
            </w:r>
            <w:r>
              <w:rPr>
                <w:rFonts w:hint="default" w:ascii="Calibri" w:hAnsi="Calibri" w:cs="Calibri"/>
                <w:i w:val="0"/>
                <w:iCs w:val="0"/>
                <w:caps w:val="0"/>
                <w:color w:val="000000"/>
                <w:spacing w:val="0"/>
                <w:sz w:val="22"/>
                <w:szCs w:val="22"/>
              </w:rPr>
              <w:t>), social contributions (</w:t>
            </w:r>
            <w:r>
              <w:rPr>
                <w:rFonts w:hint="default" w:ascii="Calibri" w:hAnsi="Calibri" w:cs="Calibri"/>
                <w:i w:val="0"/>
                <w:iCs w:val="0"/>
                <w:caps w:val="0"/>
                <w:color w:val="000000"/>
                <w:spacing w:val="0"/>
                <w:sz w:val="22"/>
                <w:szCs w:val="22"/>
              </w:rPr>
              <w:fldChar w:fldCharType="begin"/>
            </w:r>
            <w:r>
              <w:rPr>
                <w:rFonts w:hint="default" w:ascii="Calibri" w:hAnsi="Calibri" w:cs="Calibri"/>
                <w:i w:val="0"/>
                <w:iCs w:val="0"/>
                <w:caps w:val="0"/>
                <w:color w:val="000000"/>
                <w:spacing w:val="0"/>
                <w:sz w:val="22"/>
                <w:szCs w:val="22"/>
              </w:rPr>
              <w:instrText xml:space="preserve"> HYPERLINK "https://unstats.un.org/unsd/classifications/Family/Detail/1034" </w:instrText>
            </w:r>
            <w:r>
              <w:rPr>
                <w:rFonts w:hint="default" w:ascii="Calibri" w:hAnsi="Calibri" w:cs="Calibri"/>
                <w:i w:val="0"/>
                <w:iCs w:val="0"/>
                <w:caps w:val="0"/>
                <w:color w:val="000000"/>
                <w:spacing w:val="0"/>
                <w:sz w:val="22"/>
                <w:szCs w:val="22"/>
              </w:rPr>
              <w:fldChar w:fldCharType="separate"/>
            </w:r>
            <w:r>
              <w:rPr>
                <w:rStyle w:val="18"/>
                <w:rFonts w:hint="default" w:ascii="Calibri" w:hAnsi="Calibri" w:cs="Calibri"/>
                <w:i w:val="0"/>
                <w:iCs w:val="0"/>
                <w:caps w:val="0"/>
                <w:color w:val="000000"/>
                <w:spacing w:val="0"/>
                <w:sz w:val="22"/>
                <w:szCs w:val="22"/>
              </w:rPr>
              <w:t>GFS code 12</w:t>
            </w:r>
            <w:r>
              <w:rPr>
                <w:rFonts w:hint="default" w:ascii="Calibri" w:hAnsi="Calibri" w:cs="Calibri"/>
                <w:i w:val="0"/>
                <w:iCs w:val="0"/>
                <w:caps w:val="0"/>
                <w:color w:val="000000"/>
                <w:spacing w:val="0"/>
                <w:sz w:val="22"/>
                <w:szCs w:val="22"/>
              </w:rPr>
              <w:fldChar w:fldCharType="end"/>
            </w:r>
            <w:r>
              <w:rPr>
                <w:rFonts w:hint="default" w:ascii="Calibri" w:hAnsi="Calibri" w:cs="Calibri"/>
                <w:i w:val="0"/>
                <w:iCs w:val="0"/>
                <w:caps w:val="0"/>
                <w:color w:val="000000"/>
                <w:spacing w:val="0"/>
                <w:sz w:val="22"/>
                <w:szCs w:val="22"/>
              </w:rPr>
              <w:t>), grants (</w:t>
            </w:r>
            <w:r>
              <w:rPr>
                <w:rFonts w:hint="default" w:ascii="Calibri" w:hAnsi="Calibri" w:cs="Calibri"/>
                <w:i w:val="0"/>
                <w:iCs w:val="0"/>
                <w:caps w:val="0"/>
                <w:color w:val="000000"/>
                <w:spacing w:val="0"/>
                <w:sz w:val="22"/>
                <w:szCs w:val="22"/>
              </w:rPr>
              <w:fldChar w:fldCharType="begin"/>
            </w:r>
            <w:r>
              <w:rPr>
                <w:rFonts w:hint="default" w:ascii="Calibri" w:hAnsi="Calibri" w:cs="Calibri"/>
                <w:i w:val="0"/>
                <w:iCs w:val="0"/>
                <w:caps w:val="0"/>
                <w:color w:val="000000"/>
                <w:spacing w:val="0"/>
                <w:sz w:val="22"/>
                <w:szCs w:val="22"/>
              </w:rPr>
              <w:instrText xml:space="preserve"> HYPERLINK "https://unstats.un.org/unsd/classifications/Family/Detail/1034" </w:instrText>
            </w:r>
            <w:r>
              <w:rPr>
                <w:rFonts w:hint="default" w:ascii="Calibri" w:hAnsi="Calibri" w:cs="Calibri"/>
                <w:i w:val="0"/>
                <w:iCs w:val="0"/>
                <w:caps w:val="0"/>
                <w:color w:val="000000"/>
                <w:spacing w:val="0"/>
                <w:sz w:val="22"/>
                <w:szCs w:val="22"/>
              </w:rPr>
              <w:fldChar w:fldCharType="separate"/>
            </w:r>
            <w:r>
              <w:rPr>
                <w:rStyle w:val="18"/>
                <w:rFonts w:hint="default" w:ascii="Calibri" w:hAnsi="Calibri" w:cs="Calibri"/>
                <w:i w:val="0"/>
                <w:iCs w:val="0"/>
                <w:caps w:val="0"/>
                <w:color w:val="000000"/>
                <w:spacing w:val="0"/>
                <w:sz w:val="22"/>
                <w:szCs w:val="22"/>
              </w:rPr>
              <w:t>GFS code 13</w:t>
            </w:r>
            <w:r>
              <w:rPr>
                <w:rFonts w:hint="default" w:ascii="Calibri" w:hAnsi="Calibri" w:cs="Calibri"/>
                <w:i w:val="0"/>
                <w:iCs w:val="0"/>
                <w:caps w:val="0"/>
                <w:color w:val="000000"/>
                <w:spacing w:val="0"/>
                <w:sz w:val="22"/>
                <w:szCs w:val="22"/>
              </w:rPr>
              <w:fldChar w:fldCharType="end"/>
            </w:r>
            <w:r>
              <w:rPr>
                <w:rFonts w:hint="default" w:ascii="Calibri" w:hAnsi="Calibri" w:cs="Calibri"/>
                <w:i w:val="0"/>
                <w:iCs w:val="0"/>
                <w:caps w:val="0"/>
                <w:color w:val="000000"/>
                <w:spacing w:val="0"/>
                <w:sz w:val="22"/>
                <w:szCs w:val="22"/>
              </w:rPr>
              <w:t>), and other revenue (</w:t>
            </w:r>
            <w:r>
              <w:rPr>
                <w:rFonts w:hint="default" w:ascii="Calibri" w:hAnsi="Calibri" w:cs="Calibri"/>
                <w:i w:val="0"/>
                <w:iCs w:val="0"/>
                <w:caps w:val="0"/>
                <w:color w:val="000000"/>
                <w:spacing w:val="0"/>
                <w:sz w:val="22"/>
                <w:szCs w:val="22"/>
              </w:rPr>
              <w:fldChar w:fldCharType="begin"/>
            </w:r>
            <w:r>
              <w:rPr>
                <w:rFonts w:hint="default" w:ascii="Calibri" w:hAnsi="Calibri" w:cs="Calibri"/>
                <w:i w:val="0"/>
                <w:iCs w:val="0"/>
                <w:caps w:val="0"/>
                <w:color w:val="000000"/>
                <w:spacing w:val="0"/>
                <w:sz w:val="22"/>
                <w:szCs w:val="22"/>
              </w:rPr>
              <w:instrText xml:space="preserve"> HYPERLINK "https://unstats.un.org/unsd/classifications/Family/Detail/1034" </w:instrText>
            </w:r>
            <w:r>
              <w:rPr>
                <w:rFonts w:hint="default" w:ascii="Calibri" w:hAnsi="Calibri" w:cs="Calibri"/>
                <w:i w:val="0"/>
                <w:iCs w:val="0"/>
                <w:caps w:val="0"/>
                <w:color w:val="000000"/>
                <w:spacing w:val="0"/>
                <w:sz w:val="22"/>
                <w:szCs w:val="22"/>
              </w:rPr>
              <w:fldChar w:fldCharType="separate"/>
            </w:r>
            <w:r>
              <w:rPr>
                <w:rStyle w:val="18"/>
                <w:rFonts w:hint="default" w:ascii="Calibri" w:hAnsi="Calibri" w:cs="Calibri"/>
                <w:i w:val="0"/>
                <w:iCs w:val="0"/>
                <w:caps w:val="0"/>
                <w:color w:val="000000"/>
                <w:spacing w:val="0"/>
                <w:sz w:val="22"/>
                <w:szCs w:val="22"/>
              </w:rPr>
              <w:t>GFS code 14</w:t>
            </w:r>
            <w:r>
              <w:rPr>
                <w:rFonts w:hint="default" w:ascii="Calibri" w:hAnsi="Calibri" w:cs="Calibri"/>
                <w:i w:val="0"/>
                <w:iCs w:val="0"/>
                <w:caps w:val="0"/>
                <w:color w:val="000000"/>
                <w:spacing w:val="0"/>
                <w:sz w:val="22"/>
                <w:szCs w:val="22"/>
              </w:rPr>
              <w:fldChar w:fldCharType="end"/>
            </w:r>
            <w:r>
              <w:rPr>
                <w:rFonts w:hint="default" w:ascii="Calibri" w:hAnsi="Calibri" w:cs="Calibri"/>
                <w:i w:val="0"/>
                <w:iCs w:val="0"/>
                <w:caps w:val="0"/>
                <w:color w:val="000000"/>
                <w:spacing w:val="0"/>
                <w:sz w:val="22"/>
                <w:szCs w:val="22"/>
              </w:rPr>
              <w:t>). Of these, compulsory levies and transfers are the main sources of revenue for most general government units.</w:t>
            </w:r>
          </w:p>
          <w:p>
            <w:pPr>
              <w:pStyle w:val="19"/>
              <w:keepNext w:val="0"/>
              <w:keepLines w:val="0"/>
              <w:widowControl/>
              <w:suppressLineNumbers w:val="0"/>
              <w:ind w:left="0" w:firstLine="0"/>
              <w:rPr>
                <w:rFonts w:hint="default" w:ascii="Calibri" w:hAnsi="Calibri" w:cs="Calibri"/>
                <w:b/>
                <w:bCs/>
                <w:i w:val="0"/>
                <w:iCs w:val="0"/>
                <w:caps w:val="0"/>
                <w:color w:val="000000"/>
                <w:spacing w:val="0"/>
                <w:sz w:val="22"/>
                <w:szCs w:val="22"/>
              </w:rPr>
            </w:pPr>
            <w:r>
              <w:rPr>
                <w:rFonts w:hint="default" w:ascii="Calibri" w:hAnsi="Calibri" w:cs="Calibri"/>
                <w:b/>
                <w:bCs/>
                <w:i w:val="0"/>
                <w:iCs w:val="0"/>
                <w:caps w:val="0"/>
                <w:color w:val="000000"/>
                <w:spacing w:val="0"/>
                <w:sz w:val="22"/>
                <w:szCs w:val="22"/>
              </w:rPr>
              <w:t>Concepts:</w:t>
            </w:r>
          </w:p>
          <w:p>
            <w:pPr>
              <w:pStyle w:val="19"/>
              <w:keepNext w:val="0"/>
              <w:keepLines w:val="0"/>
              <w:widowControl/>
              <w:suppressLineNumbers w:val="0"/>
              <w:ind w:left="0" w:firstLine="0"/>
            </w:pPr>
            <w:r>
              <w:rPr>
                <w:rFonts w:hint="default" w:ascii="Calibri" w:hAnsi="Calibri" w:cs="Calibri"/>
                <w:i w:val="0"/>
                <w:iCs w:val="0"/>
                <w:caps w:val="0"/>
                <w:color w:val="000000"/>
                <w:spacing w:val="0"/>
                <w:sz w:val="22"/>
                <w:szCs w:val="22"/>
              </w:rPr>
              <w:t xml:space="preserve">The transactions and the associated classifications are detailed in </w:t>
            </w:r>
            <w:r>
              <w:rPr>
                <w:rFonts w:hint="default" w:ascii="Calibri" w:hAnsi="Calibri" w:cs="Calibri"/>
                <w:i w:val="0"/>
                <w:iCs w:val="0"/>
                <w:caps w:val="0"/>
                <w:color w:val="000000"/>
                <w:spacing w:val="0"/>
                <w:sz w:val="22"/>
                <w:szCs w:val="22"/>
              </w:rPr>
              <w:fldChar w:fldCharType="begin"/>
            </w:r>
            <w:r>
              <w:rPr>
                <w:rFonts w:hint="default" w:ascii="Calibri" w:hAnsi="Calibri" w:cs="Calibri"/>
                <w:i w:val="0"/>
                <w:iCs w:val="0"/>
                <w:caps w:val="0"/>
                <w:color w:val="000000"/>
                <w:spacing w:val="0"/>
                <w:sz w:val="22"/>
                <w:szCs w:val="22"/>
              </w:rPr>
              <w:instrText xml:space="preserve"> HYPERLINK "https://www.imf.org/external/Pubs/FT/GFS/Manual/2014/gfsfinal.pdf" </w:instrText>
            </w:r>
            <w:r>
              <w:rPr>
                <w:rFonts w:hint="default" w:ascii="Calibri" w:hAnsi="Calibri" w:cs="Calibri"/>
                <w:i w:val="0"/>
                <w:iCs w:val="0"/>
                <w:caps w:val="0"/>
                <w:color w:val="000000"/>
                <w:spacing w:val="0"/>
                <w:sz w:val="22"/>
                <w:szCs w:val="22"/>
              </w:rPr>
              <w:fldChar w:fldCharType="separate"/>
            </w:r>
            <w:r>
              <w:rPr>
                <w:rStyle w:val="18"/>
                <w:rFonts w:hint="default" w:ascii="Calibri" w:hAnsi="Calibri" w:cs="Calibri"/>
                <w:i w:val="0"/>
                <w:iCs w:val="0"/>
                <w:caps w:val="0"/>
                <w:color w:val="000000"/>
                <w:spacing w:val="0"/>
                <w:sz w:val="22"/>
                <w:szCs w:val="22"/>
              </w:rPr>
              <w:t>Chapter 5 of GFSM 2014</w:t>
            </w:r>
            <w:r>
              <w:rPr>
                <w:rFonts w:hint="default" w:ascii="Calibri" w:hAnsi="Calibri" w:cs="Calibri"/>
                <w:i w:val="0"/>
                <w:iCs w:val="0"/>
                <w:caps w:val="0"/>
                <w:color w:val="000000"/>
                <w:spacing w:val="0"/>
                <w:sz w:val="22"/>
                <w:szCs w:val="22"/>
              </w:rPr>
              <w:fldChar w:fldCharType="end"/>
            </w:r>
            <w:r>
              <w:rPr>
                <w:rFonts w:hint="default" w:ascii="Calibri" w:hAnsi="Calibri" w:cs="Calibri"/>
                <w:i w:val="0"/>
                <w:iCs w:val="0"/>
                <w:caps w:val="0"/>
                <w:color w:val="000000"/>
                <w:spacing w:val="0"/>
                <w:sz w:val="22"/>
                <w:szCs w:val="22"/>
              </w:rPr>
              <w:t xml:space="preserve"> and are structured to demonstrate how general government (and public sector) units raise revenue.</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US"/>
              </w:rPr>
              <w:t>Percent</w:t>
            </w:r>
            <w:r>
              <w:rPr>
                <w:rFonts w:hint="default"/>
                <w:lang w:val="en-CA"/>
              </w:rPr>
              <w: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rPr>
                <w:rFonts w:hint="default" w:ascii="Calibri" w:hAnsi="Calibri" w:cs="Calibri"/>
                <w:sz w:val="22"/>
                <w:szCs w:val="22"/>
                <w:lang w:val="en-GB"/>
              </w:rPr>
              <w:t xml:space="preserve">Ministry of Finance </w:t>
            </w:r>
            <w:r>
              <w:rPr>
                <w:rFonts w:hint="default" w:ascii="Calibri" w:hAnsi="Calibri" w:cs="Calibri"/>
                <w:sz w:val="22"/>
                <w:szCs w:val="22"/>
                <w:lang w:val="en-CA"/>
              </w:rPr>
              <w:t>(MoF) F</w:t>
            </w:r>
            <w:r>
              <w:rPr>
                <w:rFonts w:hint="default" w:ascii="Calibri" w:hAnsi="Calibri" w:cs="Calibri"/>
                <w:sz w:val="22"/>
                <w:szCs w:val="22"/>
                <w:lang w:val="en-GB"/>
              </w:rPr>
              <w:t xml:space="preserve">iscal </w:t>
            </w:r>
            <w:r>
              <w:rPr>
                <w:rFonts w:hint="default" w:ascii="Calibri" w:hAnsi="Calibri" w:cs="Calibri"/>
                <w:sz w:val="22"/>
                <w:szCs w:val="22"/>
                <w:lang w:val="en-CA"/>
              </w:rPr>
              <w:t>D</w:t>
            </w:r>
            <w:r>
              <w:rPr>
                <w:rFonts w:hint="default" w:ascii="Calibri" w:hAnsi="Calibri" w:cs="Calibri"/>
                <w:sz w:val="22"/>
                <w:szCs w:val="22"/>
                <w:lang w:val="en-GB"/>
              </w:rPr>
              <w:t>ata</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cs="Arial" w:asciiTheme="minorAscii" w:hAnsiTheme="minorAscii"/>
                <w:sz w:val="22"/>
                <w:szCs w:val="22"/>
                <w:lang w:val="en-GB"/>
              </w:rPr>
              <w:t>Ministry of Finance</w:t>
            </w:r>
            <w:r>
              <w:rPr>
                <w:rFonts w:hint="default" w:cs="Arial" w:asciiTheme="minorAscii" w:hAnsiTheme="minorAscii"/>
                <w:sz w:val="22"/>
                <w:szCs w:val="22"/>
                <w:lang w:val="en-CA"/>
              </w:rPr>
              <w:t xml:space="preserve"> and Economic Planning (MOFEP)</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US"/>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575"/>
            <w:bookmarkStart w:id="21" w:name="_Toc37932747"/>
            <w:bookmarkStart w:id="22" w:name="_Toc36813075"/>
            <w:bookmarkStart w:id="23" w:name="_Toc36655612"/>
            <w:bookmarkStart w:id="24" w:name="_Toc36812688"/>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keepNext w:val="0"/>
              <w:keepLines w:val="0"/>
              <w:widowControl/>
              <w:suppressLineNumbers w:val="0"/>
              <w:ind w:left="0" w:firstLine="0"/>
              <w:jc w:val="both"/>
            </w:pPr>
            <w:r>
              <w:rPr>
                <w:rFonts w:hint="default" w:ascii="Calibri" w:hAnsi="Calibri" w:cs="Calibri"/>
                <w:i w:val="0"/>
                <w:iCs w:val="0"/>
                <w:caps w:val="0"/>
                <w:color w:val="000000"/>
                <w:spacing w:val="0"/>
                <w:sz w:val="22"/>
                <w:szCs w:val="22"/>
              </w:rPr>
              <w:t>Fiscal policy is the use of the level and composition of the general government and public sectors’ spending and revenue—and the related accumulation of government assets and liabilities—to achieve such goals as the stabilization of the economy, the reallocation of resources, and the redistribution of</w:t>
            </w:r>
            <w:r>
              <w:rPr>
                <w:rFonts w:hint="default" w:ascii="Calibri" w:hAnsi="Calibri" w:cs="Calibri"/>
                <w:i w:val="0"/>
                <w:iCs w:val="0"/>
                <w:caps w:val="0"/>
                <w:color w:val="000000"/>
                <w:spacing w:val="0"/>
                <w:sz w:val="22"/>
                <w:szCs w:val="22"/>
                <w:lang w:val="en-CA"/>
              </w:rPr>
              <w:t xml:space="preserve"> </w:t>
            </w:r>
            <w:r>
              <w:rPr>
                <w:rFonts w:hint="default" w:ascii="Calibri" w:hAnsi="Calibri" w:cs="Calibri"/>
                <w:i w:val="0"/>
                <w:iCs w:val="0"/>
                <w:caps w:val="0"/>
                <w:color w:val="000000"/>
                <w:spacing w:val="0"/>
                <w:sz w:val="22"/>
                <w:szCs w:val="22"/>
              </w:rPr>
              <w:t>income. The indicator will provide analysts with a cross-country comparable dataset that highlights the relationship between the four main types of revenue as well as the relative "tax burden" (revenue in the form of taxes) and “fiscal burden” (revenue in the form of taxes plus social contributions).</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576"/>
            <w:bookmarkStart w:id="26" w:name="_Toc36813076"/>
            <w:bookmarkStart w:id="27" w:name="_Toc36812689"/>
            <w:bookmarkStart w:id="28" w:name="_Toc37932748"/>
            <w:bookmarkStart w:id="29" w:name="_Toc36655613"/>
            <w:r>
              <w:rPr>
                <w:sz w:val="32"/>
                <w:szCs w:val="32"/>
              </w:rPr>
              <w:t>5. Data availability and disaggregation</w:t>
            </w:r>
            <w:bookmarkEnd w:id="25"/>
            <w:bookmarkEnd w:id="26"/>
            <w:bookmarkEnd w:id="27"/>
            <w:bookmarkEnd w:id="28"/>
            <w:bookmarkEnd w:id="29"/>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There is no available disaggregation for this indicator.</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rPr>
              <w:fldChar w:fldCharType="begin"/>
            </w:r>
            <w:r>
              <w:rPr>
                <w:rFonts w:hint="default"/>
              </w:rPr>
              <w:instrText xml:space="preserve"> HYPERLINK "https://unstats.un.org/sdgs/metadata/files/Metadata-17-01-01.pdf" </w:instrText>
            </w:r>
            <w:r>
              <w:rPr>
                <w:rFonts w:hint="default"/>
              </w:rPr>
              <w:fldChar w:fldCharType="separate"/>
            </w:r>
            <w:r>
              <w:rPr>
                <w:rStyle w:val="18"/>
                <w:rFonts w:hint="default"/>
              </w:rPr>
              <w:t>https://unstats.un.org/sdgs/metadata/files/Metadata-17-01-01.pdf</w:t>
            </w:r>
            <w:r>
              <w:rPr>
                <w:rFonts w:hint="default"/>
              </w:rPr>
              <w:fldChar w:fldCharType="end"/>
            </w:r>
            <w:r>
              <w:rPr>
                <w:rFonts w:hint="default"/>
                <w:lang w:val="en-CA"/>
              </w:rPr>
              <w:t xml:space="preserve"> </w:t>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63DA3"/>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3BFF"/>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D0C27F2"/>
    <w:rsid w:val="26C376F6"/>
    <w:rsid w:val="27ED3AD8"/>
    <w:rsid w:val="72CE0988"/>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uiPriority="99" w:name="annotation text"/>
    <w:lsdException w:qFormat="1" w:uiPriority="99" w:semiHidden="0" w:name="header"/>
    <w:lsdException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uiPriority="99" w:name="annotation reference"/>
    <w:lsdException w:uiPriority="99" w:name="line number"/>
    <w:lsdException w:uiPriority="99" w:name="page number"/>
    <w:lsdException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uiPriority w:val="99"/>
    <w:rPr>
      <w:sz w:val="16"/>
      <w:szCs w:val="16"/>
    </w:rPr>
  </w:style>
  <w:style w:type="paragraph" w:styleId="8">
    <w:name w:val="annotation text"/>
    <w:basedOn w:val="1"/>
    <w:link w:val="47"/>
    <w:semiHidden/>
    <w:unhideWhenUsed/>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2.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215438</Words>
  <Characters>1228001</Characters>
  <Lines>10233</Lines>
  <Paragraphs>2881</Paragraphs>
  <TotalTime>33</TotalTime>
  <ScaleCrop>false</ScaleCrop>
  <LinksUpToDate>false</LinksUpToDate>
  <CharactersWithSpaces>1440558</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2021-11-29T11:00:00Z</dcterms:created>
  <dc:creator>Fanning, Stephen B (JMD)</dc:creator>
  <cp:lastModifiedBy>Doreen</cp:lastModifiedBy>
  <cp:lastPrinted>2020-04-16T14:23:00Z</cp:lastPrinted>
  <dcterms:modified xsi:type="dcterms:W3CDTF">2022-11-14T10:17:16Z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DAA8613641474642A3B12926D58942D4</vt:lpwstr>
  </property>
</Properties>
</file>