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cs="Calibri"/>
                <w:sz w:val="22"/>
                <w:szCs w:val="22"/>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2.a.1: The agriculture orientation index for government expenditures.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pPr>
              <w:rPr>
                <w:rFonts w:eastAsia="Helvetica" w:cs="Helvetica"/>
                <w:color w:val="0B0C0C"/>
                <w:shd w:val="clear" w:color="auto" w:fill="FFFFFF"/>
              </w:rPr>
            </w:pPr>
            <w:r>
              <w:rPr>
                <w:rFonts w:eastAsia="Helvetica" w:cs="Helvetica"/>
                <w:color w:val="0B0C0C"/>
                <w:shd w:val="clear" w:color="auto" w:fill="FFFFFF"/>
              </w:rPr>
              <w:t>Agriculture share of Government Expenditure [2.a.1]</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 xml:space="preserve">17.1.1 </w:t>
            </w:r>
          </w:p>
          <w:p>
            <w:r>
              <w:t>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20"/>
                <w:rFonts w:cstheme="minorHAnsi"/>
              </w:rPr>
            </w:pPr>
            <w:r>
              <w:rPr>
                <w:rStyle w:val="20"/>
                <w:rFonts w:cstheme="minorHAnsi"/>
              </w:rPr>
              <w:t>Definition:</w:t>
            </w:r>
          </w:p>
          <w:p>
            <w:pPr>
              <w:rPr>
                <w:rFonts w:cstheme="minorHAnsi"/>
              </w:rPr>
            </w:pP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w:t>
            </w:r>
            <w:r>
              <w:rPr>
                <w:rFonts w:hint="default" w:cstheme="minorHAnsi"/>
                <w:lang w:val="en-CA"/>
              </w:rPr>
              <w:t xml:space="preserve">s </w:t>
            </w:r>
            <w:r>
              <w:rPr>
                <w:rFonts w:cstheme="minorHAnsi"/>
              </w:rPr>
              <w:t>a currency-free index, calculated as the ratio of these two shares. National governments are requested to compile Government Expenditures according to the international Classification of Functions of Government (COFO</w:t>
            </w:r>
            <w:r>
              <w:rPr>
                <w:rFonts w:hint="default" w:cstheme="minorHAnsi"/>
                <w:lang w:val="en-CA"/>
              </w:rPr>
              <w:t>G</w:t>
            </w:r>
            <w:r>
              <w:rPr>
                <w:rFonts w:cstheme="minorHAnsi"/>
              </w:rPr>
              <w:t>)</w:t>
            </w:r>
            <w:r>
              <w:rPr>
                <w:rFonts w:hint="default" w:cstheme="minorHAnsi"/>
                <w:lang w:val="en-CA"/>
              </w:rPr>
              <w:t xml:space="preserve"> codes</w:t>
            </w:r>
            <w:r>
              <w:rPr>
                <w:rFonts w:cstheme="minorHAnsi"/>
              </w:rPr>
              <w:t xml:space="preserve"> and Agriculture Share of GDP according to the System of National Accounts (SNA).</w:t>
            </w:r>
          </w:p>
          <w:p>
            <w:pPr>
              <w:rPr>
                <w:rFonts w:cstheme="minorHAnsi"/>
              </w:rPr>
            </w:pPr>
            <w:r>
              <w:rPr>
                <w:rFonts w:cstheme="minorHAnsi"/>
              </w:rPr>
              <w:t>GVA refers to Gross Value Added, which is an output measure of Gross Domestic Product (GDP).</w:t>
            </w:r>
            <w:r>
              <w:rPr>
                <w:rFonts w:hint="default" w:cstheme="minorHAnsi"/>
              </w:rPr>
              <w:t> </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"https://www.imf.org/external/Pubs/FT/GFS/Manual/2014/gfsfinal.pdf"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Government Finance Statistics Manual (GFSM) 2014</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developed by the International Monetary Fund (IMF). </w:t>
            </w:r>
          </w:p>
          <w:p>
            <w:pPr>
              <w:pStyle w:val="19"/>
              <w:rPr>
                <w:rFonts w:cstheme="minorHAnsi"/>
              </w:rPr>
            </w:pPr>
            <w:r>
              <w:rPr>
                <w:rFonts w:asciiTheme="minorHAnsi" w:hAnsiTheme="minorHAnsi" w:cstheme="minorHAnsi"/>
                <w:color w:val="000000"/>
                <w:sz w:val="22"/>
                <w:szCs w:val="22"/>
              </w:rPr>
              <w:t>NOTE: Transactions in assets and liabilities, such as loans by general government units (disbursement and repayment), are excluded when compiling COFOG data for GFS reporting purposes.</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p>
            <w:r>
              <w:t>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National Accounts, 2019</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bookmarkStart w:id="38" w:name="_GoBack"/>
            <w:bookmarkEnd w:id="38"/>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marine/freshwater biological research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cstheme="minorHAnsi"/>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ascii="Calibri" w:hAnsi="Calibri" w:eastAsia="Helvetica" w:cs="Calibri"/>
                <w:i w:val="0"/>
                <w:iCs w:val="0"/>
                <w:caps w:val="0"/>
                <w:color w:val="0B0C0C"/>
                <w:spacing w:val="0"/>
                <w:sz w:val="22"/>
                <w:szCs w:val="22"/>
                <w:u w:val="none"/>
                <w:shd w:val="clear" w:fill="FFDD00"/>
              </w:rPr>
              <w:fldChar w:fldCharType="begin"/>
            </w:r>
            <w:r>
              <w:rPr>
                <w:rFonts w:hint="default" w:ascii="Calibri" w:hAnsi="Calibri" w:eastAsia="Helvetica" w:cs="Calibri"/>
                <w:i w:val="0"/>
                <w:iCs w:val="0"/>
                <w:caps w:val="0"/>
                <w:color w:val="0B0C0C"/>
                <w:spacing w:val="0"/>
                <w:sz w:val="22"/>
                <w:szCs w:val="22"/>
                <w:u w:val="none"/>
                <w:shd w:val="clear" w:fill="FFDD00"/>
              </w:rPr>
              <w:instrText xml:space="preserve"> HYPERLINK "https://unstats.un.org/sdgs/metadata/files/Metadata-02-0A-01.pdf" </w:instrText>
            </w:r>
            <w:r>
              <w:rPr>
                <w:rFonts w:hint="default" w:ascii="Calibri" w:hAnsi="Calibri" w:eastAsia="Helvetica" w:cs="Calibri"/>
                <w:i w:val="0"/>
                <w:iCs w:val="0"/>
                <w:caps w:val="0"/>
                <w:color w:val="0B0C0C"/>
                <w:spacing w:val="0"/>
                <w:sz w:val="22"/>
                <w:szCs w:val="22"/>
                <w:u w:val="none"/>
                <w:shd w:val="clear" w:fill="FFDD00"/>
              </w:rPr>
              <w:fldChar w:fldCharType="separate"/>
            </w:r>
            <w:r>
              <w:rPr>
                <w:rStyle w:val="18"/>
                <w:rFonts w:hint="default" w:ascii="Calibri" w:hAnsi="Calibri" w:eastAsia="Helvetica" w:cs="Calibri"/>
                <w:i w:val="0"/>
                <w:iCs w:val="0"/>
                <w:caps w:val="0"/>
                <w:spacing w:val="0"/>
                <w:sz w:val="22"/>
                <w:szCs w:val="22"/>
                <w:shd w:val="clear" w:fill="FFDD00"/>
              </w:rPr>
              <w:t>SDG Indicators — SDG Indicators (un.org)</w:t>
            </w:r>
            <w:r>
              <w:rPr>
                <w:rFonts w:hint="default" w:ascii="Calibri" w:hAnsi="Calibri" w:eastAsia="Helvetica" w:cs="Calibri"/>
                <w:i w:val="0"/>
                <w:iCs w:val="0"/>
                <w:caps w:val="0"/>
                <w:color w:val="0B0C0C"/>
                <w:spacing w:val="0"/>
                <w:sz w:val="22"/>
                <w:szCs w:val="22"/>
                <w:u w:val="none"/>
                <w:shd w:val="clear" w:fill="FFDD00"/>
              </w:rPr>
              <w:fldChar w:fldCharType="end"/>
            </w:r>
          </w:p>
        </w:tc>
      </w:tr>
      <w:permEnd w:id="48"/>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19E377F3"/>
    <w:rsid w:val="1F286D65"/>
    <w:rsid w:val="5BE37569"/>
    <w:rsid w:val="60C048E0"/>
    <w:rsid w:val="70B15EA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7">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216477</Words>
  <Characters>1233925</Characters>
  <Lines>10282</Lines>
  <Paragraphs>2895</Paragraphs>
  <TotalTime>24</TotalTime>
  <ScaleCrop>false</ScaleCrop>
  <LinksUpToDate>false</LinksUpToDate>
  <CharactersWithSpaces>1447507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Doreen</cp:lastModifiedBy>
  <cp:lastPrinted>2020-04-16T14:23:00Z</cp:lastPrinted>
  <dcterms:modified xsi:type="dcterms:W3CDTF">2022-11-14T07:42:15Z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D72B8FADD3A34030AA64A5D9B7B639FC</vt:lpwstr>
  </property>
</Properties>
</file>