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3.3.2 Tuberculosis incidence [3.3.2] (SH_TBS_INCD)</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2684"/>
            <w:bookmarkStart w:id="4" w:name="_Toc36813071"/>
            <w:bookmarkStart w:id="5" w:name="_Toc36655608"/>
            <w:bookmarkStart w:id="6" w:name="_Toc36812571"/>
            <w:bookmarkStart w:id="7" w:name="_Toc37932743"/>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pStyle w:val="32"/>
            </w:pPr>
            <w:r>
              <w:rPr>
                <w:rStyle w:val="54"/>
                <w:rFonts w:ascii="Calibri" w:hAnsi="Calibri" w:cs="Calibri"/>
                <w:color w:val="333333"/>
              </w:rPr>
              <w:t>Goal 3: Ensure healthy lives and promote well-being for all at all ages.</w:t>
            </w:r>
            <w:r>
              <w:rPr>
                <w:rStyle w:val="55"/>
                <w:rFonts w:ascii="Calibri" w:hAnsi="Calibri" w:cs="Calibri"/>
                <w:color w:val="333333"/>
              </w:rPr>
              <w:t> </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pStyle w:val="32"/>
            </w:pPr>
            <w:r>
              <w:rPr>
                <w:rStyle w:val="54"/>
                <w:rFonts w:ascii="Calibri" w:hAnsi="Calibri" w:cs="Calibri"/>
                <w:color w:val="333333"/>
              </w:rPr>
              <w:t>Target 3.3: By 2030, end the epidemics of AIDS, tuberculosis, malaria and neglected tropical diseases and combat hepatitis, water-borne diseases and other communicable diseases</w:t>
            </w:r>
            <w:r>
              <w:rPr>
                <w:rStyle w:val="55"/>
                <w:rFonts w:ascii="Calibri" w:hAnsi="Calibri" w:cs="Calibri"/>
                <w:color w:val="333333"/>
              </w:rPr>
              <w:t> </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t xml:space="preserve">Indicator 3.3.2: Tuberculosis incidence per 100,000 population </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pStyle w:val="30"/>
              <w:jc w:val="both"/>
              <w:rPr>
                <w:sz w:val="22"/>
                <w:szCs w:val="22"/>
              </w:rPr>
            </w:pPr>
            <w:r>
              <w:rPr>
                <w:sz w:val="22"/>
                <w:szCs w:val="22"/>
              </w:rPr>
              <w:t>2.1.1</w:t>
            </w:r>
          </w:p>
          <w:p>
            <w:pPr>
              <w:pStyle w:val="30"/>
              <w:jc w:val="both"/>
              <w:rPr>
                <w:rFonts w:hint="default"/>
                <w:sz w:val="22"/>
                <w:szCs w:val="22"/>
                <w:lang w:val="en-CA"/>
              </w:rPr>
            </w:pPr>
            <w:r>
              <w:rPr>
                <w:rFonts w:hint="default"/>
                <w:sz w:val="22"/>
                <w:szCs w:val="22"/>
                <w:lang w:val="en-CA"/>
              </w:rPr>
              <w:t>3.3.1</w:t>
            </w:r>
          </w:p>
          <w:p>
            <w:pPr>
              <w:pStyle w:val="30"/>
              <w:jc w:val="both"/>
              <w:rPr>
                <w:sz w:val="22"/>
                <w:szCs w:val="22"/>
              </w:rPr>
            </w:pPr>
            <w:r>
              <w:rPr>
                <w:sz w:val="22"/>
                <w:szCs w:val="22"/>
              </w:rPr>
              <w:t>3.4.1</w:t>
            </w:r>
          </w:p>
          <w:p>
            <w:pPr>
              <w:pStyle w:val="30"/>
              <w:jc w:val="both"/>
            </w:pPr>
            <w:r>
              <w:rPr>
                <w:sz w:val="22"/>
                <w:szCs w:val="22"/>
              </w:rPr>
              <w:t xml:space="preserve">3.8.1 </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pStyle w:val="30"/>
            </w:pPr>
            <w:r>
              <w:rPr>
                <w:rStyle w:val="54"/>
                <w:rFonts w:ascii="Calibri" w:hAnsi="Calibri" w:cs="Calibri"/>
                <w:color w:val="4A4A4A"/>
                <w:sz w:val="22"/>
                <w:szCs w:val="22"/>
              </w:rPr>
              <w:t>World Health Organization (WHO)</w:t>
            </w:r>
            <w:r>
              <w:rPr>
                <w:rStyle w:val="55"/>
                <w:rFonts w:ascii="Calibri" w:hAnsi="Calibri" w:cs="Calibri"/>
                <w:color w:val="4A4A4A"/>
                <w:sz w:val="22"/>
                <w:szCs w:val="22"/>
              </w:rPr>
              <w:t> </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813072"/>
            <w:bookmarkStart w:id="9" w:name="_Toc36655609"/>
            <w:bookmarkStart w:id="10" w:name="_Toc36812685"/>
            <w:bookmarkStart w:id="11" w:name="_Toc37932744"/>
            <w:bookmarkStart w:id="12" w:name="_Toc368125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CA"/>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686"/>
            <w:bookmarkStart w:id="14" w:name="_Toc36812573"/>
            <w:bookmarkStart w:id="15" w:name="_Toc37932745"/>
            <w:bookmarkStart w:id="16" w:name="_Toc36655610"/>
            <w:bookmarkStart w:id="17" w:name="_Toc368130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56"/>
              <w:shd w:val="clear" w:color="auto" w:fill="FFFFFF"/>
              <w:spacing w:before="0" w:beforeAutospacing="0" w:after="0" w:afterAutospacing="0"/>
              <w:textAlignment w:val="baseline"/>
              <w:rPr>
                <w:rFonts w:ascii="Segoe UI" w:hAnsi="Segoe UI" w:cs="Segoe UI"/>
                <w:sz w:val="22"/>
                <w:szCs w:val="22"/>
              </w:rPr>
            </w:pPr>
            <w:r>
              <w:rPr>
                <w:rStyle w:val="54"/>
                <w:rFonts w:ascii="Calibri" w:hAnsi="Calibri" w:cs="Calibri"/>
                <w:b/>
                <w:bCs/>
                <w:color w:val="4A4A4A"/>
                <w:sz w:val="22"/>
                <w:szCs w:val="22"/>
                <w:lang w:val="en-GB"/>
              </w:rPr>
              <w:t>Definition:</w:t>
            </w:r>
            <w:r>
              <w:rPr>
                <w:rStyle w:val="55"/>
                <w:rFonts w:ascii="Calibri" w:hAnsi="Calibri" w:cs="Calibri"/>
                <w:color w:val="4A4A4A"/>
                <w:sz w:val="22"/>
                <w:szCs w:val="22"/>
              </w:rPr>
              <w:t> </w:t>
            </w:r>
          </w:p>
          <w:p>
            <w:pPr>
              <w:pStyle w:val="56"/>
              <w:shd w:val="clear" w:color="auto" w:fill="FFFFFF"/>
              <w:spacing w:before="0" w:beforeAutospacing="0" w:after="0" w:afterAutospacing="0"/>
              <w:textAlignment w:val="baseline"/>
              <w:rPr>
                <w:rFonts w:ascii="Segoe UI" w:hAnsi="Segoe UI" w:cs="Segoe UI"/>
                <w:sz w:val="22"/>
                <w:szCs w:val="22"/>
              </w:rPr>
            </w:pPr>
            <w:r>
              <w:rPr>
                <w:rStyle w:val="54"/>
                <w:rFonts w:ascii="Calibri" w:hAnsi="Calibri" w:cs="Calibri"/>
                <w:color w:val="4A4A4A"/>
                <w:sz w:val="22"/>
                <w:szCs w:val="22"/>
                <w:lang w:val="en-GB"/>
              </w:rPr>
              <w:t>The tuberculosis incidence per 100</w:t>
            </w:r>
            <w:r>
              <w:rPr>
                <w:rStyle w:val="54"/>
                <w:rFonts w:hint="default" w:ascii="Calibri" w:hAnsi="Calibri" w:cs="Calibri"/>
                <w:color w:val="4A4A4A"/>
                <w:sz w:val="22"/>
                <w:szCs w:val="22"/>
                <w:lang w:val="en-CA"/>
              </w:rPr>
              <w:t>,</w:t>
            </w:r>
            <w:r>
              <w:rPr>
                <w:rStyle w:val="54"/>
                <w:rFonts w:ascii="Calibri" w:hAnsi="Calibri" w:cs="Calibri"/>
                <w:color w:val="4A4A4A"/>
                <w:sz w:val="22"/>
                <w:szCs w:val="22"/>
                <w:lang w:val="en-GB"/>
              </w:rPr>
              <w:t>000 population is defined as the estimated number of new and relapse TB cases (all forms of TB, including cases in people living with HIV) arising in a given year, expressed as a rate per 100</w:t>
            </w:r>
            <w:r>
              <w:rPr>
                <w:rStyle w:val="54"/>
                <w:rFonts w:hint="default" w:ascii="Calibri" w:hAnsi="Calibri" w:cs="Calibri"/>
                <w:color w:val="4A4A4A"/>
                <w:sz w:val="22"/>
                <w:szCs w:val="22"/>
                <w:lang w:val="en-CA"/>
              </w:rPr>
              <w:t>,</w:t>
            </w:r>
            <w:r>
              <w:rPr>
                <w:rStyle w:val="54"/>
                <w:rFonts w:ascii="Calibri" w:hAnsi="Calibri" w:cs="Calibri"/>
                <w:color w:val="4A4A4A"/>
                <w:sz w:val="22"/>
                <w:szCs w:val="22"/>
                <w:lang w:val="en-GB"/>
              </w:rPr>
              <w:t>000 population.</w:t>
            </w:r>
            <w:r>
              <w:rPr>
                <w:rStyle w:val="55"/>
                <w:rFonts w:ascii="Calibri" w:hAnsi="Calibri" w:cs="Calibri"/>
                <w:color w:val="4A4A4A"/>
                <w:sz w:val="22"/>
                <w:szCs w:val="22"/>
              </w:rPr>
              <w:t> </w:t>
            </w:r>
          </w:p>
          <w:p>
            <w:pPr>
              <w:pStyle w:val="56"/>
              <w:shd w:val="clear" w:color="auto" w:fill="FFFFFF"/>
              <w:spacing w:before="0" w:beforeAutospacing="0" w:after="0" w:afterAutospacing="0"/>
              <w:textAlignment w:val="baseline"/>
              <w:rPr>
                <w:rFonts w:ascii="Segoe UI" w:hAnsi="Segoe UI" w:cs="Segoe UI"/>
                <w:sz w:val="22"/>
                <w:szCs w:val="22"/>
              </w:rPr>
            </w:pPr>
            <w:r>
              <w:rPr>
                <w:rStyle w:val="55"/>
                <w:color w:val="4A4A4A"/>
                <w:sz w:val="22"/>
                <w:szCs w:val="22"/>
              </w:rPr>
              <w:t> </w:t>
            </w:r>
          </w:p>
          <w:p>
            <w:pPr>
              <w:pStyle w:val="56"/>
              <w:shd w:val="clear" w:color="auto" w:fill="FFFFFF"/>
              <w:spacing w:before="0" w:beforeAutospacing="0" w:after="0" w:afterAutospacing="0"/>
              <w:textAlignment w:val="baseline"/>
              <w:rPr>
                <w:rFonts w:ascii="Segoe UI" w:hAnsi="Segoe UI" w:cs="Segoe UI"/>
                <w:sz w:val="22"/>
                <w:szCs w:val="22"/>
              </w:rPr>
            </w:pPr>
            <w:bookmarkStart w:id="38" w:name="_GoBack"/>
            <w:bookmarkEnd w:id="38"/>
            <w:r>
              <w:rPr>
                <w:rStyle w:val="54"/>
                <w:rFonts w:ascii="Calibri" w:hAnsi="Calibri" w:cs="Calibri"/>
                <w:b/>
                <w:bCs/>
                <w:color w:val="4A4A4A"/>
                <w:sz w:val="22"/>
                <w:szCs w:val="22"/>
                <w:lang w:val="en-GB"/>
              </w:rPr>
              <w:t>Concepts:</w:t>
            </w:r>
            <w:r>
              <w:rPr>
                <w:rStyle w:val="55"/>
                <w:rFonts w:ascii="Calibri" w:hAnsi="Calibri" w:cs="Calibri"/>
                <w:color w:val="4A4A4A"/>
                <w:sz w:val="22"/>
                <w:szCs w:val="22"/>
              </w:rPr>
              <w:t> </w:t>
            </w:r>
            <w:r>
              <w:rPr>
                <w:rStyle w:val="55"/>
                <w:color w:val="4A4A4A"/>
                <w:sz w:val="22"/>
                <w:szCs w:val="22"/>
              </w:rPr>
              <w:t> </w:t>
            </w:r>
          </w:p>
          <w:p>
            <w:pPr>
              <w:pStyle w:val="56"/>
              <w:shd w:val="clear" w:color="auto" w:fill="FFFFFF"/>
              <w:spacing w:before="0" w:beforeAutospacing="0" w:after="0" w:afterAutospacing="0"/>
              <w:textAlignment w:val="baseline"/>
            </w:pPr>
            <w:r>
              <w:rPr>
                <w:rStyle w:val="54"/>
                <w:rFonts w:ascii="Calibri" w:hAnsi="Calibri" w:cs="Calibri"/>
                <w:color w:val="4A4A4A"/>
                <w:sz w:val="22"/>
                <w:szCs w:val="22"/>
                <w:lang w:val="en-GB"/>
              </w:rPr>
              <w:t xml:space="preserve">Direct measurement requires high-quality surveillance systems in which </w:t>
            </w:r>
            <w:r>
              <w:rPr>
                <w:rStyle w:val="54"/>
                <w:rFonts w:ascii="Calibri" w:hAnsi="Calibri" w:cs="Calibri"/>
                <w:color w:val="4A4A4A"/>
                <w:sz w:val="22"/>
                <w:szCs w:val="22"/>
                <w:lang w:val="en-CA"/>
              </w:rPr>
              <w:t>under-reporting</w:t>
            </w:r>
            <w:r>
              <w:rPr>
                <w:rStyle w:val="54"/>
                <w:rFonts w:ascii="Calibri" w:hAnsi="Calibri" w:cs="Calibri"/>
                <w:color w:val="4A4A4A"/>
                <w:sz w:val="22"/>
                <w:szCs w:val="22"/>
                <w:lang w:val="en-GB"/>
              </w:rPr>
              <w:t xml:space="preserve"> is negligible, and strong health systems so that under-diagnosis is also negligible; otherwise indirect estimates are based on notification data and estimates of levels of </w:t>
            </w:r>
            <w:r>
              <w:rPr>
                <w:rStyle w:val="54"/>
                <w:rFonts w:ascii="Calibri" w:hAnsi="Calibri" w:cs="Calibri"/>
                <w:color w:val="4A4A4A"/>
                <w:sz w:val="22"/>
                <w:szCs w:val="22"/>
                <w:lang w:val="en-CA"/>
              </w:rPr>
              <w:t>under-reporting</w:t>
            </w:r>
            <w:r>
              <w:rPr>
                <w:rStyle w:val="54"/>
                <w:rFonts w:ascii="Calibri" w:hAnsi="Calibri" w:cs="Calibri"/>
                <w:color w:val="4A4A4A"/>
                <w:sz w:val="22"/>
                <w:szCs w:val="22"/>
                <w:lang w:val="en-GB"/>
              </w:rPr>
              <w:t xml:space="preserve"> and under-diagnosis.</w:t>
            </w:r>
            <w:r>
              <w:rPr>
                <w:rStyle w:val="55"/>
                <w:rFonts w:ascii="Calibri" w:hAnsi="Calibri" w:cs="Calibri"/>
                <w:color w:val="4A4A4A"/>
                <w:sz w:val="22"/>
                <w:szCs w:val="22"/>
              </w:rPr>
              <w:t> </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pStyle w:val="35"/>
            </w:pPr>
            <w:r>
              <w:rPr>
                <w:rFonts w:hint="default"/>
                <w:sz w:val="22"/>
                <w:szCs w:val="22"/>
                <w:lang w:val="en-CA"/>
              </w:rPr>
              <w:t>P</w:t>
            </w:r>
            <w:r>
              <w:rPr>
                <w:sz w:val="22"/>
                <w:szCs w:val="22"/>
              </w:rPr>
              <w:t>er 100</w:t>
            </w:r>
            <w:r>
              <w:rPr>
                <w:rFonts w:hint="default"/>
                <w:sz w:val="22"/>
                <w:szCs w:val="22"/>
                <w:lang w:val="en-CA"/>
              </w:rPr>
              <w:t>,</w:t>
            </w:r>
            <w:r>
              <w:rPr>
                <w:sz w:val="22"/>
                <w:szCs w:val="22"/>
              </w:rPr>
              <w:t>000 population</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spacing w:after="0" w:line="240" w:lineRule="auto"/>
              <w:jc w:val="both"/>
            </w:pPr>
            <w:r>
              <w:rPr>
                <w:rFonts w:eastAsia="Times New Roman" w:cstheme="minorHAnsi"/>
                <w:iCs/>
                <w:lang w:val="en-GB" w:eastAsia="en-GB"/>
              </w:rPr>
              <w:t>Holistic Assessment of Health Sector Programme of Work, 2018</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t>Ministry of Health</w:t>
            </w:r>
            <w:r>
              <w:rPr>
                <w:rFonts w:hint="default"/>
                <w:lang w:val="en-CA"/>
              </w:rPr>
              <w:t xml:space="preserve"> (MoH)</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7932747"/>
            <w:bookmarkStart w:id="21" w:name="_Toc36813075"/>
            <w:bookmarkStart w:id="22" w:name="_Toc36812688"/>
            <w:bookmarkStart w:id="23" w:name="_Toc36812575"/>
            <w:bookmarkStart w:id="24" w:name="_Toc36655612"/>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xml:space="preserve"> The overall goal is to “End the global tuberculosis epidemic”, and correspondingly ambitious targets for reductions in tuberculosis deaths and cases are set for 2030 (80% reduction in incidence rate compared with the level of 2015) and 2035 (90% reduction in incidence rate), in the context of the SDGs.</w:t>
            </w:r>
          </w:p>
          <w:p>
            <w:pPr>
              <w:pStyle w:val="19"/>
              <w:rPr>
                <w:rFonts w:cstheme="minorHAnsi"/>
              </w:rPr>
            </w:pPr>
            <w:r>
              <w:rPr>
                <w:rFonts w:asciiTheme="minorHAnsi" w:hAnsiTheme="minorHAnsi" w:cstheme="minorHAnsi"/>
                <w:color w:val="000000"/>
                <w:sz w:val="22"/>
                <w:szCs w:val="22"/>
              </w:rPr>
              <w:t>The tuberculosis incidence rate was selected as an indicator for measuring reductions in the number of cases of disease burden. Although this indicator was estimated with considerable uncertainty in most countries in 2014, notifications of cases to national authorities provide a good proxy if there is limited under-reporting of detected cases and limited under or over-diagnosis of cases.</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rPr>
                <w:rFonts w:eastAsia="Times New Roman" w:cstheme="minorHAnsi"/>
                <w:lang w:val="en-GB" w:eastAsia="en-GB"/>
              </w:rPr>
            </w:pPr>
            <w:r>
              <w:rPr>
                <w:rFonts w:cstheme="minorHAnsi"/>
                <w:color w:val="333333"/>
                <w:shd w:val="clear" w:color="auto" w:fill="E0E0E0"/>
              </w:rPr>
              <w:t>Estimated number of new and relapse TB cases (all forms of TB, including cases in people living with HIV) arising in a given year, expressed as a rate per 100 000 population.</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20"/>
        <w:gridCol w:w="6236"/>
      </w:tblGrid>
      <w:tr>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2576"/>
            <w:bookmarkStart w:id="26" w:name="_Toc36812689"/>
            <w:bookmarkStart w:id="27" w:name="_Toc37932748"/>
            <w:bookmarkStart w:id="28" w:name="_Toc36655613"/>
            <w:bookmarkStart w:id="29" w:name="_Toc36813076"/>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CA"/>
              </w:rPr>
            </w:pPr>
            <w:r>
              <w:t>The</w:t>
            </w:r>
            <w:r>
              <w:rPr>
                <w:rFonts w:hint="default"/>
                <w:lang w:val="en-CA"/>
              </w:rPr>
              <w:t>re is no available disaggregation for this indicator.</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2"/>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5" w:name="_Toc37932753"/>
      <w:bookmarkStart w:id="36" w:name="Mapping"/>
      <w:r>
        <w:rPr>
          <w:sz w:val="28"/>
          <w:szCs w:val="28"/>
        </w:rPr>
        <w:t>B. Mapping of SDMX Detailed Concepts to IAEG-SDG File Format</w:t>
      </w:r>
      <w:bookmarkEnd w:id="35"/>
    </w:p>
    <w:bookmarkEnd w:id="36"/>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7" w:name="_Toc37932754"/>
      <w:r>
        <w:rPr>
          <w:sz w:val="28"/>
          <w:szCs w:val="28"/>
        </w:rPr>
        <w:t>C. Mapping of IAEG-SDG File Format to SDMX Detailed Concepts</w:t>
      </w:r>
      <w:bookmarkEnd w:id="37"/>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07A0F"/>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75F46"/>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0364"/>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6F769E"/>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27BDD"/>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08B9"/>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E2956"/>
    <w:rsid w:val="00FF642D"/>
    <w:rsid w:val="488B02BC"/>
    <w:rsid w:val="5A61395E"/>
    <w:rsid w:val="779E75B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Autospacing="1" w:afterAutospacing="1"/>
    </w:pPr>
    <w:rPr>
      <w:rFonts w:ascii="Times New Roman" w:hAnsi="Times New Roman" w:eastAsia="SimSun" w:cs="Times New Roman"/>
      <w:sz w:val="24"/>
      <w:szCs w:val="24"/>
      <w:lang w:val="en-US" w:eastAsia="zh-CN" w:bidi="ar-SA"/>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1"/>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3"/>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3">
    <w:name w:val="Unresolved Mention2"/>
    <w:basedOn w:val="4"/>
    <w:semiHidden/>
    <w:unhideWhenUsed/>
    <w:qFormat/>
    <w:uiPriority w:val="99"/>
    <w:rPr>
      <w:color w:val="605E5C"/>
      <w:shd w:val="clear" w:color="auto" w:fill="E1DFDD"/>
    </w:rPr>
  </w:style>
  <w:style w:type="character" w:customStyle="1" w:styleId="54">
    <w:name w:val="normaltextrun"/>
    <w:basedOn w:val="4"/>
    <w:qFormat/>
    <w:uiPriority w:val="0"/>
  </w:style>
  <w:style w:type="character" w:customStyle="1" w:styleId="55">
    <w:name w:val="eop"/>
    <w:basedOn w:val="4"/>
    <w:qFormat/>
    <w:uiPriority w:val="0"/>
  </w:style>
  <w:style w:type="paragraph" w:customStyle="1" w:styleId="56">
    <w:name w:val="paragraph"/>
    <w:basedOn w:val="1"/>
    <w:qFormat/>
    <w:uiPriority w:val="0"/>
    <w:pPr>
      <w:spacing w:before="100" w:beforeAutospacing="1" w:after="100" w:afterAutospacing="1" w:line="240" w:lineRule="auto"/>
    </w:pPr>
    <w:rPr>
      <w:rFonts w:ascii="Times New Roman" w:hAnsi="Times New Roman" w:eastAsia="Times New Roman" w:cs="Times New Roman"/>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446705"/>
    <w:rsid w:val="006153AA"/>
    <w:rsid w:val="0064052E"/>
    <w:rsid w:val="00760A1F"/>
    <w:rsid w:val="00D07BE3"/>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datastoreItem>
</file>

<file path=customXml/itemProps2.xml><?xml version="1.0" encoding="utf-8"?>
<ds:datastoreItem xmlns:ds="http://schemas.openxmlformats.org/officeDocument/2006/customXml" ds:itemID="{EB1C2039-A1E2-420D-9A37-E0F60F4991A9}">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1ED1DF50-B557-40DB-AB1D-53089885C6E0}">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215695</Words>
  <Characters>1229468</Characters>
  <Lines>10245</Lines>
  <Paragraphs>2884</Paragraphs>
  <TotalTime>31</TotalTime>
  <ScaleCrop>false</ScaleCrop>
  <LinksUpToDate>false</LinksUpToDate>
  <CharactersWithSpaces>1442279</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2021-11-02T11:52:00Z</dcterms:created>
  <dc:creator>Fanning, Stephen B (JMD)</dc:creator>
  <cp:lastModifiedBy>Doreen</cp:lastModifiedBy>
  <cp:lastPrinted>2020-04-16T14:23:00Z</cp:lastPrinted>
  <dcterms:modified xsi:type="dcterms:W3CDTF">2022-11-14T07:46:46Z</dcterms:modified>
  <cp:revision>6</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3433118939154D60B4351CD3880EF677</vt:lpwstr>
  </property>
</Properties>
</file>