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2"/>
        <w:jc w:val="center"/>
        <w:rPr>
          <w:rFonts w:eastAsiaTheme="minorHAnsi"/>
          <w:sz w:val="48"/>
          <w:szCs w:val="48"/>
        </w:rPr>
      </w:pPr>
      <w:r>
        <w:rPr>
          <w:rFonts w:eastAsiaTheme="minorHAnsi"/>
          <w:sz w:val="48"/>
          <w:szCs w:val="48"/>
        </w:rPr>
        <w:t>SDG Metadata Authoring Tool Template</w:t>
      </w:r>
    </w:p>
    <w:p>
      <w:pPr>
        <w:pStyle w:val="20"/>
        <w:jc w:val="center"/>
        <w:rPr>
          <w:color w:val="595959" w:themeColor="text1" w:themeTint="A6"/>
          <w14:textFill>
            <w14:solidFill>
              <w14:schemeClr w14:val="tx1">
                <w14:lumMod w14:val="65000"/>
                <w14:lumOff w14:val="35000"/>
              </w14:schemeClr>
            </w14:solidFill>
          </w14:textFill>
        </w:rPr>
      </w:pPr>
      <w:r>
        <w:rPr>
          <w:color w:val="595959" w:themeColor="text1" w:themeTint="A6"/>
          <w14:textFill>
            <w14:solidFill>
              <w14:schemeClr w14:val="tx1">
                <w14:lumMod w14:val="65000"/>
                <w14:lumOff w14:val="35000"/>
              </w14:schemeClr>
            </w14:solidFill>
          </w14:textFill>
        </w:rP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7"/>
          </w:pPr>
          <w:r>
            <w:t>Contents</w:t>
          </w:r>
        </w:p>
        <w:p>
          <w:pPr>
            <w:pStyle w:val="23"/>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4"/>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8"/>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8"/>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permStart w:id="1" w:edGrp="everyone"/>
          <w:bookmarkStart w:id="1" w:name="_Hlk53861140"/>
          <w:r>
            <w:t>4.1.2 Completion rate, by sex, location, wealth quintile and education level (%) [4.1.2] (SE_TOT_CPLR)</w:t>
          </w:r>
          <w:permEnd w:id="1"/>
        </w:p>
      </w:sdtContent>
    </w:sdt>
    <w:bookmarkEnd w:id="1"/>
    <w:p>
      <w:pPr>
        <w:spacing w:after="0"/>
        <w:rPr>
          <w:sz w:val="26"/>
          <w:szCs w:val="26"/>
        </w:rPr>
      </w:pPr>
    </w:p>
    <w:p>
      <w:pPr>
        <w:spacing w:after="0"/>
        <w:rPr>
          <w:sz w:val="26"/>
          <w:szCs w:val="26"/>
        </w:rPr>
      </w:pPr>
      <w:r>
        <w:rPr>
          <w:sz w:val="26"/>
          <w:szCs w:val="26"/>
        </w:rPr>
        <w:object>
          <v:shape id="_x0000_i1025" o:spt="201" type="#_x0000_t201" style="height:24pt;width:72pt;" o:ole="t" filled="f" o:preferrelative="t" stroked="f" coordsize="21600,21600">
            <v:path/>
            <v:fill on="f" focussize="0,0"/>
            <v:stroke on="f" joinstyle="miter"/>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type="#_x0000_t201" style="height:24pt;width:91.6pt;" o:ole="t" filled="f" o:preferrelative="t" stroked="f" coordsize="21600,21600">
            <v:path/>
            <v:fill on="f" focussize="0,0"/>
            <v:stroke on="f" joinstyle="miter"/>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type="#_x0000_t201" style="height:24pt;width:140pt;" o:ole="t" filled="f" o:preferrelative="t" stroked="f" coordsize="21600,21600">
            <v:path/>
            <v:fill on="f" focussize="0,0"/>
            <v:stroke on="f" joinstyle="miter"/>
            <v:imagedata r:id="rId13" o:title=""/>
            <o:lock v:ext="edit" aspectratio="t"/>
            <w10:wrap type="none"/>
            <w10:anchorlock/>
          </v:shape>
          <w:control r:id="rId12" w:name="ImportSdmxDsd" w:shapeid="_x0000_i1027"/>
        </w:object>
      </w:r>
      <w:r>
        <w:t xml:space="preserve">             </w:t>
      </w:r>
      <w:r>
        <w:object>
          <v:shape id="_x0000_i1028" o:spt="201" type="#_x0000_t201" style="height:24pt;width:200pt;" o:ole="t" filled="f" o:preferrelative="t" stroked="f" coordsize="21600,21600">
            <v:path/>
            <v:fill on="f" focussize="0,0"/>
            <v:stroke on="f" joinstyle="miter"/>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8"/>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655608"/>
            <w:bookmarkStart w:id="4" w:name="_Toc36813071"/>
            <w:bookmarkStart w:id="5" w:name="_Toc36812684"/>
            <w:bookmarkStart w:id="6" w:name="_Toc37932743"/>
            <w:bookmarkStart w:id="7" w:name="_Toc36812571"/>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r>
              <w:rPr>
                <w:color w:val="000000"/>
              </w:rPr>
              <w:t>Goal 4: Ensure inclusive and equitable quality education and promote lifelong learning opportunities for all</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r>
              <w:rPr>
                <w:color w:val="000000"/>
              </w:rPr>
              <w:t>Target 4.1: By 2030, ensure that all girls and boys complete free, equitable and quality primary and secondary education leading to relevant and effective learning outcomes</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r>
              <w:rPr>
                <w:color w:val="000000"/>
              </w:rPr>
              <w:t>Indicator 4.1.2: Completion rate (primary education, lower secondary education, upper secondary education)</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r>
              <w:rPr>
                <w:color w:val="000000"/>
              </w:rPr>
              <w:t>4.1.1</w:t>
            </w: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r>
              <w:rPr>
                <w:color w:val="000000"/>
              </w:rPr>
              <w:t>UNESCO Institute for Statistics (UIS)</w:t>
            </w: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6813072"/>
            <w:bookmarkStart w:id="9" w:name="_Toc37932744"/>
            <w:bookmarkStart w:id="10" w:name="_Toc36655609"/>
            <w:bookmarkStart w:id="11" w:name="_Toc36812572"/>
            <w:bookmarkStart w:id="12" w:name="_Toc36812685"/>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7932745"/>
            <w:bookmarkStart w:id="14" w:name="_Toc36813073"/>
            <w:bookmarkStart w:id="15" w:name="_Toc36812573"/>
            <w:bookmarkStart w:id="16" w:name="_Toc36655610"/>
            <w:bookmarkStart w:id="17" w:name="_Toc36812686"/>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pStyle w:val="19"/>
              <w:rPr>
                <w:b/>
                <w:bCs/>
                <w:color w:val="000000"/>
                <w:sz w:val="22"/>
                <w:szCs w:val="22"/>
              </w:rPr>
            </w:pPr>
            <w:r>
              <w:rPr>
                <w:b/>
                <w:bCs/>
                <w:color w:val="000000"/>
                <w:sz w:val="22"/>
                <w:szCs w:val="22"/>
              </w:rPr>
              <w:t>Definition:</w:t>
            </w:r>
          </w:p>
          <w:p>
            <w:pPr>
              <w:pStyle w:val="19"/>
              <w:rPr>
                <w:color w:val="000000"/>
                <w:sz w:val="22"/>
                <w:szCs w:val="22"/>
              </w:rPr>
            </w:pPr>
            <w:r>
              <w:rPr>
                <w:color w:val="000000"/>
                <w:sz w:val="22"/>
                <w:szCs w:val="22"/>
              </w:rPr>
              <w:t>Percentage of a cohort of children or young people aged 3-5 years above the intended age for the last grade of each level of education who have completed that grade.</w:t>
            </w:r>
          </w:p>
          <w:p>
            <w:pPr>
              <w:rPr>
                <w:b/>
                <w:bCs/>
                <w:color w:val="000000"/>
              </w:rPr>
            </w:pPr>
            <w:r>
              <w:rPr>
                <w:b/>
                <w:bCs/>
                <w:color w:val="000000"/>
              </w:rPr>
              <w:t>Concepts:</w:t>
            </w:r>
          </w:p>
          <w:p>
            <w:pPr>
              <w:rPr>
                <w:b/>
                <w:bCs/>
              </w:rPr>
            </w:pPr>
            <w:r>
              <w:rPr>
                <w:color w:val="000000"/>
              </w:rPr>
              <w:t>The intended age for the last grade of each level of education is the age at which pupils would enter the grade if they had started school at the official primary entrance age, had studied full-time and had progressed without repeating or skipping a grade.</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r>
              <w:rPr>
                <w:color w:val="000000"/>
              </w:rPr>
              <w:t>Percent</w:t>
            </w:r>
            <w:r>
              <w:rPr>
                <w:rFonts w:hint="default"/>
                <w:color w:val="000000"/>
                <w:lang w:val="en-CA"/>
              </w:rPr>
              <w:t>age</w:t>
            </w:r>
            <w:r>
              <w:rPr>
                <w:color w:val="000000"/>
              </w:rPr>
              <w:t xml:space="preserve"> (%)</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6813074"/>
            <w:bookmarkStart w:id="19" w:name="_Toc37932746"/>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jc w:val="both"/>
              <w:rPr>
                <w:rFonts w:hint="default" w:cstheme="minorHAnsi"/>
                <w:color w:val="57585A"/>
                <w:lang w:val="en-CA"/>
              </w:rPr>
            </w:pPr>
            <w:r>
              <w:rPr>
                <w:rFonts w:hint="default" w:cstheme="minorHAnsi"/>
                <w:color w:val="57585A"/>
                <w:lang w:val="en-CA"/>
              </w:rPr>
              <w:t>Education Management Information Systems (EMIS), 2016 - 2020</w:t>
            </w:r>
          </w:p>
          <w:p>
            <w:pPr>
              <w:jc w:val="both"/>
              <w:rPr>
                <w:rFonts w:hint="default" w:cstheme="minorHAnsi"/>
                <w:color w:val="57585A"/>
                <w:lang w:val="en-CA"/>
              </w:rPr>
            </w:pPr>
            <w:r>
              <w:rPr>
                <w:rFonts w:cstheme="minorHAnsi"/>
                <w:color w:val="57585A"/>
              </w:rPr>
              <w:t>Education Sector Medium-Term Development Plan</w:t>
            </w:r>
            <w:r>
              <w:rPr>
                <w:rFonts w:hint="default" w:cstheme="minorHAnsi"/>
                <w:color w:val="57585A"/>
                <w:lang w:val="en-CA"/>
              </w:rPr>
              <w:t xml:space="preserve"> (ESMTDP)</w:t>
            </w:r>
            <w:r>
              <w:rPr>
                <w:rFonts w:cstheme="minorHAnsi"/>
                <w:color w:val="57585A"/>
              </w:rPr>
              <w:t>, 20</w:t>
            </w:r>
            <w:r>
              <w:rPr>
                <w:rFonts w:hint="default" w:cstheme="minorHAnsi"/>
                <w:color w:val="57585A"/>
                <w:lang w:val="en-CA"/>
              </w:rPr>
              <w:t>18</w:t>
            </w:r>
            <w:r>
              <w:rPr>
                <w:rFonts w:cstheme="minorHAnsi"/>
                <w:color w:val="57585A"/>
              </w:rPr>
              <w:t xml:space="preserve"> – 20</w:t>
            </w:r>
            <w:r>
              <w:rPr>
                <w:rFonts w:hint="default" w:cstheme="minorHAnsi"/>
                <w:color w:val="57585A"/>
                <w:lang w:val="en-CA"/>
              </w:rPr>
              <w:t>21</w:t>
            </w:r>
          </w:p>
          <w:p>
            <w:pPr>
              <w:jc w:val="both"/>
              <w:rPr>
                <w:rFonts w:hint="default" w:cstheme="minorHAnsi"/>
                <w:color w:val="57585A"/>
                <w:lang w:val="en-CA"/>
              </w:rPr>
            </w:pPr>
            <w:r>
              <w:rPr>
                <w:rFonts w:hint="default" w:cstheme="minorHAnsi"/>
                <w:color w:val="57585A"/>
                <w:lang w:val="en-CA"/>
              </w:rPr>
              <w:t>Ghana’s Sustainable Development Goals (SDGs) Report, 2020</w:t>
            </w:r>
            <w:bookmarkStart w:id="38" w:name="_GoBack"/>
            <w:bookmarkEnd w:id="38"/>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r>
              <w:t>Ministry of Education</w:t>
            </w:r>
            <w:r>
              <w:rPr>
                <w:rFonts w:hint="default"/>
                <w:lang w:val="en-CA"/>
              </w:rPr>
              <w:t xml:space="preserve"> (MoE)</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r>
              <w:rPr>
                <w:rFonts w:hint="default"/>
                <w:lang w:val="en-CA"/>
              </w:rPr>
              <w:t>National Development Planning Committee (NDPC)</w:t>
            </w: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7932747"/>
            <w:bookmarkStart w:id="21" w:name="_Toc36813075"/>
            <w:bookmarkStart w:id="22" w:name="_Toc36812575"/>
            <w:bookmarkStart w:id="23" w:name="_Toc36655612"/>
            <w:bookmarkStart w:id="24" w:name="_Toc36812688"/>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pStyle w:val="19"/>
              <w:rPr>
                <w:rFonts w:asciiTheme="minorHAnsi" w:hAnsiTheme="minorHAnsi" w:cstheme="minorHAnsi"/>
                <w:color w:val="000000"/>
                <w:sz w:val="22"/>
                <w:szCs w:val="22"/>
              </w:rPr>
            </w:pPr>
            <w:r>
              <w:rPr>
                <w:rFonts w:asciiTheme="minorHAnsi" w:hAnsiTheme="minorHAnsi" w:cstheme="minorHAnsi"/>
                <w:color w:val="000000"/>
                <w:sz w:val="22"/>
                <w:szCs w:val="22"/>
              </w:rPr>
              <w:t xml:space="preserve"> A completion rate at or near 100% indicates that all or most children and adolescents have completed a level of education by the time they are 3 to 5 years older than the official age of entry into the last grade of that level of education. A low completion rate indicates low or delayed entry into a given level of education, high drop-out, high repetition, late completion, or a combination of these factors.</w:t>
            </w:r>
          </w:p>
          <w:p>
            <w:pPr>
              <w:pStyle w:val="19"/>
            </w:pPr>
            <w:r>
              <w:rPr>
                <w:rFonts w:asciiTheme="minorHAnsi" w:hAnsiTheme="minorHAnsi" w:cstheme="minorHAnsi"/>
                <w:color w:val="000000"/>
                <w:sz w:val="22"/>
                <w:szCs w:val="22"/>
              </w:rPr>
              <w:t>The completion rate can be used either as a self-standing indicator or in combination with SDG indicator 4.1.1 (proportion of children and young people (a) in Grade 2 or 3; (b) at the end of primary education; and (c) at the end of lower secondary education achieving at least a minimum proficiency level in (i) reading and (ii) mathematics). Combining the completion rate with indicator 4.1.1 provides information on the percentage of children or young people in a cohort who achieve a minimum level of proficiency, and not only on the percentage of children in school who achieve minimum proficiency.</w:t>
            </w: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6655613"/>
            <w:bookmarkStart w:id="26" w:name="_Toc36812576"/>
            <w:bookmarkStart w:id="27" w:name="_Toc36812689"/>
            <w:bookmarkStart w:id="28" w:name="_Toc37932748"/>
            <w:bookmarkStart w:id="29" w:name="_Toc36813076"/>
            <w:r>
              <w:rPr>
                <w:sz w:val="32"/>
                <w:szCs w:val="32"/>
              </w:rPr>
              <w:t>5. Data availability and disaggregation</w:t>
            </w:r>
            <w:bookmarkEnd w:id="25"/>
            <w:bookmarkEnd w:id="26"/>
            <w:bookmarkEnd w:id="27"/>
            <w:bookmarkEnd w:id="28"/>
            <w:bookmarkEnd w:id="29"/>
          </w:p>
        </w:tc>
      </w:tr>
      <w:tr>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r>
              <w:t>The data has been disaggregated into educational levels</w:t>
            </w: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r>
              <w:fldChar w:fldCharType="begin"/>
            </w:r>
            <w:r>
              <w:instrText xml:space="preserve"> HYPERLINK "https://unstats.un.org/sdgs/metadata/" </w:instrText>
            </w:r>
            <w:r>
              <w:fldChar w:fldCharType="separate"/>
            </w:r>
            <w:r>
              <w:rPr>
                <w:rStyle w:val="18"/>
              </w:rPr>
              <w:t>SDG Indicators — SDG Indicators (un.org)</w:t>
            </w:r>
            <w:r>
              <w:rPr>
                <w:rStyle w:val="18"/>
              </w:rPr>
              <w:fldChar w:fldCharType="end"/>
            </w:r>
          </w:p>
        </w:tc>
      </w:tr>
      <w:permEnd w:id="46"/>
    </w:tbl>
    <w:p>
      <w:pPr>
        <w:pStyle w:val="2"/>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2"/>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2"/>
        <w:rPr>
          <w:sz w:val="28"/>
          <w:szCs w:val="28"/>
        </w:rPr>
      </w:pPr>
      <w:bookmarkStart w:id="35" w:name="_Toc37932753"/>
      <w:bookmarkStart w:id="36" w:name="Mapping"/>
      <w:r>
        <w:rPr>
          <w:sz w:val="28"/>
          <w:szCs w:val="28"/>
        </w:rPr>
        <w:t>B. Mapping of SDMX Detailed Concepts to IAEG-SDG File Format</w:t>
      </w:r>
      <w:bookmarkEnd w:id="35"/>
    </w:p>
    <w:bookmarkEnd w:id="36"/>
    <w:p>
      <w:pPr>
        <w:pStyle w:val="35"/>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5"/>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5"/>
      </w:pPr>
    </w:p>
    <w:p>
      <w:pPr>
        <w:pStyle w:val="32"/>
        <w:rPr>
          <w:sz w:val="28"/>
          <w:szCs w:val="28"/>
        </w:rPr>
      </w:pPr>
      <w:bookmarkStart w:id="37" w:name="_Toc37932754"/>
      <w:r>
        <w:rPr>
          <w:sz w:val="28"/>
          <w:szCs w:val="28"/>
        </w:rPr>
        <w:t>C. Mapping of IAEG-SDG File Format to SDMX Detailed Concepts</w:t>
      </w:r>
      <w:bookmarkEnd w:id="37"/>
    </w:p>
    <w:p>
      <w:pPr>
        <w:pStyle w:val="35"/>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5"/>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5"/>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Arial Unicode MS"/>
    <w:panose1 w:val="00000000000000000000"/>
    <w:charset w:val="00"/>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view w:val="web"/>
  <w:zoom w:percent="100"/>
  <w:documentProtection w:edit="readOnly" w:enforcement="1"/>
  <w:defaultTabStop w:val="720"/>
  <w:noPunctuationKerning w:val="1"/>
  <w:characterSpacingControl w:val="doNotCompress"/>
  <w:footnotePr>
    <w:footnote w:id="2"/>
    <w:footnote w:id="3"/>
  </w:footnotePr>
  <w:endnotePr>
    <w:numFmt w:val="decimal"/>
    <w:endnote w:id="0"/>
    <w:endnote w:id="1"/>
  </w:endnotePr>
  <w:compat>
    <w:doNotExpandShiftReturn/>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0F7F87"/>
    <w:rsid w:val="001034ED"/>
    <w:rsid w:val="00106632"/>
    <w:rsid w:val="001127E6"/>
    <w:rsid w:val="00131E4C"/>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81231"/>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64F53"/>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07EC"/>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62E2C"/>
    <w:rsid w:val="0068379D"/>
    <w:rsid w:val="00693674"/>
    <w:rsid w:val="006A7EF1"/>
    <w:rsid w:val="006B0512"/>
    <w:rsid w:val="006B3527"/>
    <w:rsid w:val="006C075C"/>
    <w:rsid w:val="006C6768"/>
    <w:rsid w:val="006C783E"/>
    <w:rsid w:val="006E1A7D"/>
    <w:rsid w:val="006F104C"/>
    <w:rsid w:val="006F2038"/>
    <w:rsid w:val="006F50E8"/>
    <w:rsid w:val="007100BD"/>
    <w:rsid w:val="0072265F"/>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64F49"/>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588"/>
    <w:rsid w:val="00A64C04"/>
    <w:rsid w:val="00A67357"/>
    <w:rsid w:val="00A804A0"/>
    <w:rsid w:val="00A86B38"/>
    <w:rsid w:val="00A91915"/>
    <w:rsid w:val="00A92C73"/>
    <w:rsid w:val="00AA38A9"/>
    <w:rsid w:val="00AA6D0D"/>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6E5C"/>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1229"/>
    <w:rsid w:val="00F54570"/>
    <w:rsid w:val="00F75853"/>
    <w:rsid w:val="00F7784D"/>
    <w:rsid w:val="00F8144F"/>
    <w:rsid w:val="00F8462A"/>
    <w:rsid w:val="00F862A7"/>
    <w:rsid w:val="00F93763"/>
    <w:rsid w:val="00F939A2"/>
    <w:rsid w:val="00F96E8D"/>
    <w:rsid w:val="00FA20D9"/>
    <w:rsid w:val="00FB03D0"/>
    <w:rsid w:val="00FD54D7"/>
    <w:rsid w:val="00FF642D"/>
    <w:rsid w:val="17C00239"/>
    <w:rsid w:val="440E3D50"/>
    <w:rsid w:val="473269D9"/>
    <w:rsid w:val="6F4B1F25"/>
    <w:rsid w:val="76637E36"/>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qFormat="1"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6"/>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1"/>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qFormat/>
    <w:uiPriority w:val="1"/>
  </w:style>
  <w:style w:type="table" w:default="1" w:styleId="5">
    <w:name w:val="Normal Table"/>
    <w:semiHidden/>
    <w:unhideWhenUsed/>
    <w:qFormat/>
    <w:uiPriority w:val="99"/>
    <w:tblPr>
      <w:tblCellMar>
        <w:top w:w="0" w:type="dxa"/>
        <w:left w:w="108" w:type="dxa"/>
        <w:bottom w:w="0" w:type="dxa"/>
        <w:right w:w="108" w:type="dxa"/>
      </w:tblCellMar>
    </w:tblPr>
  </w:style>
  <w:style w:type="paragraph" w:styleId="6">
    <w:name w:val="Balloon Text"/>
    <w:basedOn w:val="1"/>
    <w:link w:val="44"/>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7"/>
    <w:semiHidden/>
    <w:unhideWhenUsed/>
    <w:qFormat/>
    <w:uiPriority w:val="99"/>
    <w:pPr>
      <w:spacing w:line="240" w:lineRule="auto"/>
    </w:pPr>
    <w:rPr>
      <w:sz w:val="20"/>
      <w:szCs w:val="20"/>
    </w:rPr>
  </w:style>
  <w:style w:type="paragraph" w:styleId="9">
    <w:name w:val="annotation subject"/>
    <w:basedOn w:val="8"/>
    <w:next w:val="8"/>
    <w:link w:val="48"/>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50"/>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5"/>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2"/>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4"/>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Normal (Web)"/>
    <w:basedOn w:val="1"/>
    <w:semiHidden/>
    <w:unhideWhenUsed/>
    <w:qFormat/>
    <w:uiPriority w:val="99"/>
    <w:pPr>
      <w:spacing w:before="100" w:beforeAutospacing="1" w:after="100" w:afterAutospacing="1" w:line="240" w:lineRule="auto"/>
    </w:pPr>
    <w:rPr>
      <w:rFonts w:ascii="Times New Roman" w:hAnsi="Times New Roman" w:eastAsia="Times New Roman" w:cs="Times New Roman"/>
      <w:sz w:val="24"/>
      <w:szCs w:val="24"/>
    </w:rPr>
  </w:style>
  <w:style w:type="paragraph" w:styleId="20">
    <w:name w:val="Subtitle"/>
    <w:basedOn w:val="1"/>
    <w:next w:val="1"/>
    <w:link w:val="2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1">
    <w:name w:val="Table Grid"/>
    <w:basedOn w:val="5"/>
    <w:qFormat/>
    <w:uiPriority w:val="59"/>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2">
    <w:name w:val="Title"/>
    <w:basedOn w:val="1"/>
    <w:next w:val="1"/>
    <w:link w:val="28"/>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3">
    <w:name w:val="toc 1"/>
    <w:basedOn w:val="1"/>
    <w:next w:val="1"/>
    <w:unhideWhenUsed/>
    <w:qFormat/>
    <w:uiPriority w:val="39"/>
    <w:pPr>
      <w:spacing w:after="100"/>
    </w:pPr>
  </w:style>
  <w:style w:type="paragraph" w:styleId="24">
    <w:name w:val="toc 2"/>
    <w:basedOn w:val="1"/>
    <w:next w:val="1"/>
    <w:unhideWhenUsed/>
    <w:qFormat/>
    <w:uiPriority w:val="39"/>
    <w:pPr>
      <w:spacing w:after="100"/>
      <w:ind w:left="220"/>
    </w:pPr>
  </w:style>
  <w:style w:type="paragraph" w:styleId="25">
    <w:name w:val="toc 3"/>
    <w:basedOn w:val="1"/>
    <w:next w:val="1"/>
    <w:unhideWhenUsed/>
    <w:qFormat/>
    <w:uiPriority w:val="39"/>
    <w:pPr>
      <w:spacing w:after="100"/>
      <w:ind w:left="440"/>
    </w:pPr>
  </w:style>
  <w:style w:type="character" w:customStyle="1" w:styleId="26">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7">
    <w:name w:val="TOC Heading1"/>
    <w:basedOn w:val="2"/>
    <w:next w:val="1"/>
    <w:unhideWhenUsed/>
    <w:qFormat/>
    <w:uiPriority w:val="39"/>
    <w:pPr>
      <w:outlineLvl w:val="9"/>
    </w:pPr>
  </w:style>
  <w:style w:type="character" w:customStyle="1" w:styleId="28">
    <w:name w:val="Title Char"/>
    <w:basedOn w:val="4"/>
    <w:link w:val="22"/>
    <w:qFormat/>
    <w:uiPriority w:val="10"/>
    <w:rPr>
      <w:rFonts w:asciiTheme="majorHAnsi" w:hAnsiTheme="majorHAnsi" w:eastAsiaTheme="majorEastAsia" w:cstheme="majorBidi"/>
      <w:spacing w:val="-10"/>
      <w:kern w:val="28"/>
      <w:sz w:val="56"/>
      <w:szCs w:val="56"/>
    </w:rPr>
  </w:style>
  <w:style w:type="character" w:customStyle="1" w:styleId="29">
    <w:name w:val="Subtitle Char"/>
    <w:basedOn w:val="4"/>
    <w:link w:val="20"/>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30">
    <w:name w:val="M.G+T.Header"/>
    <w:basedOn w:val="1"/>
    <w:link w:val="31"/>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1">
    <w:name w:val="M.G+T.Header Char"/>
    <w:basedOn w:val="4"/>
    <w:link w:val="30"/>
    <w:qFormat/>
    <w:uiPriority w:val="0"/>
    <w:rPr>
      <w:rFonts w:eastAsia="Times New Roman" w:cs="Times New Roman"/>
      <w:color w:val="333333"/>
      <w:sz w:val="21"/>
      <w:szCs w:val="21"/>
      <w:shd w:val="clear" w:color="auto" w:fill="F5F5F5"/>
      <w:lang w:val="en-GB" w:eastAsia="en-GB"/>
    </w:rPr>
  </w:style>
  <w:style w:type="paragraph" w:customStyle="1" w:styleId="32">
    <w:name w:val="M.Ind.Header"/>
    <w:basedOn w:val="1"/>
    <w:link w:val="33"/>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3">
    <w:name w:val="M.Ind.Header Char"/>
    <w:basedOn w:val="4"/>
    <w:link w:val="32"/>
    <w:qFormat/>
    <w:uiPriority w:val="0"/>
    <w:rPr>
      <w:rFonts w:eastAsia="Times New Roman" w:cs="Times New Roman"/>
      <w:color w:val="1C75BC"/>
      <w:shd w:val="clear" w:color="auto" w:fill="F5F5F5"/>
      <w:lang w:val="en-GB" w:eastAsia="en-GB"/>
    </w:rPr>
  </w:style>
  <w:style w:type="character" w:customStyle="1" w:styleId="34">
    <w:name w:val="Header Char"/>
    <w:basedOn w:val="4"/>
    <w:link w:val="17"/>
    <w:qFormat/>
    <w:uiPriority w:val="99"/>
    <w:rPr>
      <w:rFonts w:eastAsiaTheme="minorEastAsia"/>
      <w:lang w:val="en-GB" w:eastAsia="zh-CN"/>
    </w:rPr>
  </w:style>
  <w:style w:type="paragraph" w:customStyle="1" w:styleId="35">
    <w:name w:val="M.Text"/>
    <w:basedOn w:val="1"/>
    <w:link w:val="36"/>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6">
    <w:name w:val="M.Text Char"/>
    <w:basedOn w:val="4"/>
    <w:link w:val="35"/>
    <w:qFormat/>
    <w:uiPriority w:val="0"/>
    <w:rPr>
      <w:rFonts w:eastAsia="Times New Roman" w:cs="Times New Roman"/>
      <w:color w:val="4A4A4A"/>
      <w:sz w:val="21"/>
      <w:szCs w:val="21"/>
      <w:shd w:val="clear" w:color="auto" w:fill="FFFFFF"/>
      <w:lang w:val="en-GB" w:eastAsia="en-GB"/>
    </w:rPr>
  </w:style>
  <w:style w:type="table" w:customStyle="1" w:styleId="37">
    <w:name w:val="Grid Table 1 Light1"/>
    <w:basedOn w:val="5"/>
    <w:qFormat/>
    <w:uiPriority w:val="46"/>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8">
    <w:name w:val="M.Header"/>
    <w:basedOn w:val="1"/>
    <w:link w:val="39"/>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9">
    <w:name w:val="M.Header Char"/>
    <w:basedOn w:val="4"/>
    <w:link w:val="38"/>
    <w:qFormat/>
    <w:uiPriority w:val="0"/>
    <w:rPr>
      <w:rFonts w:eastAsia="Times New Roman" w:cs="Times New Roman"/>
      <w:color w:val="1C75BC"/>
      <w:sz w:val="36"/>
      <w:szCs w:val="36"/>
      <w:shd w:val="clear" w:color="auto" w:fill="FFFFFF"/>
      <w:lang w:val="en-GB" w:eastAsia="en-GB"/>
    </w:rPr>
  </w:style>
  <w:style w:type="paragraph" w:customStyle="1" w:styleId="40">
    <w:name w:val="M.Sub.Header"/>
    <w:basedOn w:val="1"/>
    <w:link w:val="41"/>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1">
    <w:name w:val="M.Sub.Header Char"/>
    <w:basedOn w:val="4"/>
    <w:link w:val="40"/>
    <w:qFormat/>
    <w:uiPriority w:val="0"/>
    <w:rPr>
      <w:rFonts w:eastAsia="Times New Roman" w:cs="Times New Roman"/>
      <w:b/>
      <w:bCs/>
      <w:color w:val="4A4A4A"/>
      <w:sz w:val="21"/>
      <w:szCs w:val="21"/>
      <w:shd w:val="clear" w:color="auto" w:fill="FFFFFF"/>
      <w:lang w:val="en-GB" w:eastAsia="en-GB"/>
    </w:rPr>
  </w:style>
  <w:style w:type="character" w:customStyle="1" w:styleId="42">
    <w:name w:val="Footnote Text Char"/>
    <w:basedOn w:val="4"/>
    <w:link w:val="16"/>
    <w:semiHidden/>
    <w:qFormat/>
    <w:uiPriority w:val="99"/>
    <w:rPr>
      <w:rFonts w:eastAsiaTheme="minorEastAsia"/>
      <w:sz w:val="20"/>
      <w:szCs w:val="20"/>
      <w:lang w:val="en-GB" w:eastAsia="zh-CN"/>
    </w:rPr>
  </w:style>
  <w:style w:type="paragraph" w:styleId="43">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4">
    <w:name w:val="Balloon Text Char"/>
    <w:basedOn w:val="4"/>
    <w:link w:val="6"/>
    <w:semiHidden/>
    <w:qFormat/>
    <w:uiPriority w:val="99"/>
    <w:rPr>
      <w:rFonts w:ascii="Segoe UI" w:hAnsi="Segoe UI" w:cs="Segoe UI"/>
      <w:sz w:val="18"/>
      <w:szCs w:val="18"/>
    </w:rPr>
  </w:style>
  <w:style w:type="character" w:customStyle="1" w:styleId="45">
    <w:name w:val="Footer Char"/>
    <w:basedOn w:val="4"/>
    <w:link w:val="13"/>
    <w:qFormat/>
    <w:uiPriority w:val="99"/>
  </w:style>
  <w:style w:type="character" w:customStyle="1" w:styleId="46">
    <w:name w:val="Unresolved Mention1"/>
    <w:basedOn w:val="4"/>
    <w:semiHidden/>
    <w:unhideWhenUsed/>
    <w:qFormat/>
    <w:uiPriority w:val="99"/>
    <w:rPr>
      <w:color w:val="605E5C"/>
      <w:shd w:val="clear" w:color="auto" w:fill="E1DFDD"/>
    </w:rPr>
  </w:style>
  <w:style w:type="character" w:customStyle="1" w:styleId="47">
    <w:name w:val="Comment Text Char"/>
    <w:basedOn w:val="4"/>
    <w:link w:val="8"/>
    <w:semiHidden/>
    <w:qFormat/>
    <w:uiPriority w:val="99"/>
    <w:rPr>
      <w:sz w:val="20"/>
      <w:szCs w:val="20"/>
    </w:rPr>
  </w:style>
  <w:style w:type="character" w:customStyle="1" w:styleId="48">
    <w:name w:val="Comment Subject Char"/>
    <w:basedOn w:val="47"/>
    <w:link w:val="9"/>
    <w:semiHidden/>
    <w:qFormat/>
    <w:uiPriority w:val="99"/>
    <w:rPr>
      <w:b/>
      <w:bCs/>
      <w:sz w:val="20"/>
      <w:szCs w:val="20"/>
    </w:rPr>
  </w:style>
  <w:style w:type="character" w:styleId="49">
    <w:name w:val="Placeholder Text"/>
    <w:basedOn w:val="4"/>
    <w:semiHidden/>
    <w:qFormat/>
    <w:uiPriority w:val="99"/>
    <w:rPr>
      <w:color w:val="808080"/>
    </w:rPr>
  </w:style>
  <w:style w:type="character" w:customStyle="1" w:styleId="50">
    <w:name w:val="Endnote Text Char"/>
    <w:basedOn w:val="4"/>
    <w:link w:val="11"/>
    <w:qFormat/>
    <w:uiPriority w:val="99"/>
    <w:rPr>
      <w:sz w:val="20"/>
      <w:szCs w:val="20"/>
    </w:rPr>
  </w:style>
  <w:style w:type="character" w:customStyle="1" w:styleId="51">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2">
    <w:name w:val="Default"/>
    <w:qFormat/>
    <w:uiPriority w:val="0"/>
    <w:pPr>
      <w:autoSpaceDE w:val="0"/>
      <w:autoSpaceDN w:val="0"/>
      <w:adjustRightInd w:val="0"/>
    </w:pPr>
    <w:rPr>
      <w:rFonts w:ascii="Calibri" w:hAnsi="Calibri" w:cs="Calibri" w:eastAsiaTheme="minorEastAsia"/>
      <w:color w:val="000000"/>
      <w:sz w:val="24"/>
      <w:szCs w:val="24"/>
      <w:lang w:val="en-US" w:eastAsia="zh-CN" w:bidi="ar-SA"/>
    </w:rPr>
  </w:style>
  <w:style w:type="character" w:customStyle="1" w:styleId="53">
    <w:name w:val="Unresolved Mention2"/>
    <w:basedOn w:val="4"/>
    <w:semiHidden/>
    <w:unhideWhenUsed/>
    <w:qFormat/>
    <w:uiPriority w:val="99"/>
    <w:rPr>
      <w:color w:val="605E5C"/>
      <w:shd w:val="clear" w:color="auto" w:fill="E1DFDD"/>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4.bin"/></Relationships>
</file>

<file path=word/activeX/_rels/activeX4.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Arial Unicode MS"/>
    <w:panose1 w:val="00000000000000000000"/>
    <w:charset w:val="86"/>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 w:name="等线">
    <w:altName w:val="Arial Unicode MS"/>
    <w:panose1 w:val="00000000000000000000"/>
    <w:charset w:val="86"/>
    <w:family w:val="auto"/>
    <w:pitch w:val="default"/>
    <w:sig w:usb0="00000000" w:usb1="00000000" w:usb2="00000000" w:usb3="00000000" w:csb0="00000000"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2E6F2C"/>
    <w:rsid w:val="0036646D"/>
    <w:rsid w:val="006153AA"/>
    <w:rsid w:val="0064052E"/>
    <w:rsid w:val="00760A1F"/>
    <w:rsid w:val="008934E7"/>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iPriority="1" w:name="Default Paragraph Font"/>
    <w:lsdException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qFormat/>
    <w:uiPriority w:val="1"/>
  </w:style>
  <w:style w:type="table" w:default="1" w:styleId="3">
    <w:name w:val="Normal Table"/>
    <w:semiHidden/>
    <w:unhideWhenUsed/>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EB1C2039-A1E2-420D-9A37-E0F60F4991A9}">
  <ds:schemaRefs/>
</ds:datastoreItem>
</file>

<file path=customXml/itemProps2.xml><?xml version="1.0" encoding="utf-8"?>
<ds:datastoreItem xmlns:ds="http://schemas.openxmlformats.org/officeDocument/2006/customXml" ds:itemID="{57E59553-E217-482E-8EE7-C905E1600DAA}">
  <ds:schemaRefs/>
</ds:datastoreItem>
</file>

<file path=customXml/itemProps3.xml><?xml version="1.0" encoding="utf-8"?>
<ds:datastoreItem xmlns:ds="http://schemas.openxmlformats.org/officeDocument/2006/customXml" ds:itemID="{1ED1DF50-B557-40DB-AB1D-53089885C6E0}">
  <ds:schemaRefs/>
</ds:datastoreItem>
</file>

<file path=customXml/itemProps4.xml><?xml version="1.0" encoding="utf-8"?>
<ds:datastoreItem xmlns:ds="http://schemas.openxmlformats.org/officeDocument/2006/customXml" ds:itemID="{4712825F-F8FB-47DE-B6A1-8CCC6E07E218}">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Pages>
  <Words>215704</Words>
  <Characters>1229513</Characters>
  <Lines>10245</Lines>
  <Paragraphs>2884</Paragraphs>
  <TotalTime>0</TotalTime>
  <ScaleCrop>false</ScaleCrop>
  <LinksUpToDate>false</LinksUpToDate>
  <CharactersWithSpaces>1442333</CharactersWithSpaces>
  <Application>WPS Office_11.2.0.11380_F1E327BC-269C-435d-A152-05C5408002CA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2022-09-15T10:10:00Z</dcterms:created>
  <dc:creator>Fanning, Stephen B (JMD)</dc:creator>
  <cp:lastModifiedBy>Doreen</cp:lastModifiedBy>
  <cp:lastPrinted>2020-04-16T14:23:00Z</cp:lastPrinted>
  <dcterms:modified xsi:type="dcterms:W3CDTF">2022-11-14T08:04:31Z</dcterms:modified>
  <cp:revision>4</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1033-11.2.0.11380</vt:lpwstr>
  </property>
  <property fmtid="{D5CDD505-2E9C-101B-9397-08002B2CF9AE}" pid="4" name="ICV">
    <vt:lpwstr>9E6276A02C6844B6824FB067E93FAFEE</vt:lpwstr>
  </property>
</Properties>
</file>